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6D" w:rsidRDefault="00863097">
      <w:pPr>
        <w:widowControl/>
        <w:spacing w:line="560" w:lineRule="exact"/>
        <w:rPr>
          <w:rFonts w:ascii="黑体" w:eastAsia="黑体" w:hAnsi="黑体" w:cs="黑体"/>
          <w:sz w:val="32"/>
          <w:szCs w:val="32"/>
        </w:rPr>
      </w:pPr>
      <w:r>
        <w:rPr>
          <w:rFonts w:ascii="黑体" w:eastAsia="黑体" w:hAnsi="黑体" w:cs="黑体" w:hint="eastAsia"/>
          <w:sz w:val="32"/>
          <w:szCs w:val="32"/>
        </w:rPr>
        <w:t>附件1</w:t>
      </w:r>
    </w:p>
    <w:p w:rsidR="0098676D" w:rsidRDefault="0098676D">
      <w:pPr>
        <w:widowControl/>
        <w:spacing w:line="560" w:lineRule="exact"/>
        <w:rPr>
          <w:rFonts w:ascii="仿宋" w:eastAsia="仿宋" w:hAnsi="仿宋"/>
          <w:sz w:val="32"/>
          <w:szCs w:val="32"/>
        </w:rPr>
      </w:pPr>
    </w:p>
    <w:p w:rsidR="0098676D" w:rsidRDefault="00863097">
      <w:pPr>
        <w:widowControl/>
        <w:spacing w:line="6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平顶山市公共资源交易中心</w:t>
      </w:r>
    </w:p>
    <w:p w:rsidR="0098676D" w:rsidRDefault="00863097">
      <w:pPr>
        <w:widowControl/>
        <w:spacing w:line="62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“不见面”在线受理流程</w:t>
      </w:r>
    </w:p>
    <w:p w:rsidR="0098676D" w:rsidRDefault="0098676D">
      <w:pPr>
        <w:widowControl/>
        <w:spacing w:line="620" w:lineRule="exact"/>
        <w:ind w:firstLineChars="150" w:firstLine="482"/>
        <w:rPr>
          <w:rFonts w:ascii="楷体" w:eastAsia="楷体" w:hAnsi="楷体" w:cs="楷体"/>
          <w:b/>
          <w:bCs/>
          <w:sz w:val="32"/>
          <w:szCs w:val="32"/>
        </w:rPr>
      </w:pPr>
    </w:p>
    <w:p w:rsidR="0098676D" w:rsidRDefault="00863097">
      <w:pPr>
        <w:ind w:firstLineChars="200" w:firstLine="640"/>
        <w:rPr>
          <w:rFonts w:ascii="仿宋_GB2312" w:eastAsia="仿宋_GB2312"/>
          <w:sz w:val="32"/>
          <w:szCs w:val="32"/>
        </w:rPr>
      </w:pPr>
      <w:r>
        <w:rPr>
          <w:rFonts w:ascii="仿宋_GB2312" w:eastAsia="仿宋_GB2312" w:hint="eastAsia"/>
          <w:sz w:val="32"/>
          <w:szCs w:val="32"/>
        </w:rPr>
        <w:t>1、招标人（代理机构）凭CA数字认证证书，登录平顶山市公共资源电子化交易平台录入项目进场信息，不需要到交易中心现场提交各项资料原件。</w:t>
      </w:r>
    </w:p>
    <w:p w:rsidR="0098676D" w:rsidRDefault="00863097">
      <w:pPr>
        <w:ind w:firstLineChars="200" w:firstLine="640"/>
        <w:rPr>
          <w:rFonts w:ascii="仿宋_GB2312" w:eastAsia="仿宋_GB2312"/>
          <w:sz w:val="32"/>
          <w:szCs w:val="32"/>
        </w:rPr>
      </w:pPr>
      <w:r>
        <w:rPr>
          <w:rFonts w:ascii="仿宋_GB2312" w:eastAsia="仿宋_GB2312" w:hint="eastAsia"/>
          <w:sz w:val="32"/>
          <w:szCs w:val="32"/>
        </w:rPr>
        <w:t>2、市公共资源交易中心业务受理人员通过平顶山市公共资源交易中心系统填写进场项目编码，招标人（代理机构）不再填写。</w:t>
      </w:r>
    </w:p>
    <w:p w:rsidR="0098676D" w:rsidRDefault="00863097">
      <w:pPr>
        <w:ind w:firstLineChars="200" w:firstLine="640"/>
        <w:rPr>
          <w:rFonts w:ascii="仿宋_GB2312" w:eastAsia="仿宋_GB2312" w:hAnsi="仿宋"/>
          <w:sz w:val="32"/>
          <w:szCs w:val="32"/>
        </w:rPr>
      </w:pPr>
      <w:r>
        <w:rPr>
          <w:rFonts w:ascii="仿宋_GB2312" w:eastAsia="仿宋_GB2312" w:hint="eastAsia"/>
          <w:sz w:val="32"/>
          <w:szCs w:val="32"/>
        </w:rPr>
        <w:t>3、原有的项目资料不再上传，所有进场项目采用承诺制。招标人（代理机构）应通过电子化交易平台上传进场单位承诺书及其他应提供资料。</w:t>
      </w:r>
      <w:r>
        <w:rPr>
          <w:rFonts w:ascii="仿宋_GB2312" w:eastAsia="仿宋_GB2312" w:hAnsi="仿宋" w:cs="仿宋" w:hint="eastAsia"/>
          <w:sz w:val="32"/>
          <w:szCs w:val="32"/>
        </w:rPr>
        <w:t>对于涉及保障城市运行必需、疫情防控必需、市级以上重点项目、涉及重要国计民生以及企业生产经营</w:t>
      </w:r>
      <w:r>
        <w:rPr>
          <w:rFonts w:ascii="仿宋_GB2312" w:eastAsia="仿宋_GB2312" w:hAnsi="仿宋" w:hint="eastAsia"/>
          <w:sz w:val="32"/>
          <w:szCs w:val="32"/>
        </w:rPr>
        <w:t>、扶贫急需的需要进场评标的</w:t>
      </w:r>
      <w:r>
        <w:rPr>
          <w:rFonts w:ascii="仿宋_GB2312" w:eastAsia="仿宋_GB2312" w:hAnsi="仿宋" w:cs="仿宋" w:hint="eastAsia"/>
          <w:sz w:val="32"/>
          <w:szCs w:val="32"/>
        </w:rPr>
        <w:t>项目,</w:t>
      </w:r>
      <w:r>
        <w:rPr>
          <w:rFonts w:ascii="仿宋_GB2312" w:eastAsia="仿宋_GB2312" w:hint="eastAsia"/>
          <w:sz w:val="32"/>
          <w:szCs w:val="32"/>
        </w:rPr>
        <w:t>可通过电子化交易平台上传</w:t>
      </w:r>
      <w:r>
        <w:rPr>
          <w:rFonts w:ascii="仿宋_GB2312" w:eastAsia="仿宋_GB2312" w:hAnsi="仿宋" w:hint="eastAsia"/>
          <w:sz w:val="32"/>
          <w:szCs w:val="32"/>
        </w:rPr>
        <w:t>《平顶山市疫情期间重大紧急项目进场交易申请表》。</w:t>
      </w:r>
    </w:p>
    <w:p w:rsidR="0098676D" w:rsidRDefault="00863097">
      <w:pPr>
        <w:ind w:firstLineChars="200" w:firstLine="640"/>
        <w:rPr>
          <w:rFonts w:ascii="仿宋_GB2312" w:eastAsia="仿宋_GB2312"/>
          <w:sz w:val="32"/>
          <w:szCs w:val="32"/>
        </w:rPr>
      </w:pPr>
      <w:r>
        <w:rPr>
          <w:rFonts w:ascii="仿宋_GB2312" w:eastAsia="仿宋_GB2312" w:hint="eastAsia"/>
          <w:sz w:val="32"/>
          <w:szCs w:val="32"/>
        </w:rPr>
        <w:t>4、受理人员对交易项目是否符合进场条件进行符合性审查，对登记信息不全或有明显错误的项目，受理人员应通过电子化交易平台退回招标代理机构，并及时一次性告知需补充完善的内容。招标代理机构修改后重新提交受理</w:t>
      </w:r>
      <w:r>
        <w:rPr>
          <w:rFonts w:ascii="仿宋_GB2312" w:eastAsia="仿宋_GB2312" w:hint="eastAsia"/>
          <w:sz w:val="32"/>
          <w:szCs w:val="32"/>
        </w:rPr>
        <w:lastRenderedPageBreak/>
        <w:t>人员审查。</w:t>
      </w:r>
    </w:p>
    <w:p w:rsidR="0098676D" w:rsidRDefault="00863097">
      <w:pPr>
        <w:ind w:firstLineChars="196" w:firstLine="627"/>
        <w:rPr>
          <w:rFonts w:ascii="仿宋_GB2312" w:eastAsia="仿宋_GB2312" w:hAnsi="仿宋"/>
          <w:sz w:val="32"/>
          <w:szCs w:val="32"/>
        </w:rPr>
      </w:pPr>
      <w:r>
        <w:rPr>
          <w:rFonts w:ascii="仿宋_GB2312" w:eastAsia="仿宋_GB2312" w:hint="eastAsia"/>
          <w:sz w:val="32"/>
          <w:szCs w:val="32"/>
        </w:rPr>
        <w:t>5、招标人（代理机构）通过电子化交易平台网上预约开评标时间和场地，中心受理人员根据招标人（招标代理机构）的申请即时确认，</w:t>
      </w:r>
      <w:r>
        <w:rPr>
          <w:rFonts w:ascii="仿宋_GB2312" w:eastAsia="仿宋_GB2312" w:hAnsi="仿宋" w:hint="eastAsia"/>
          <w:sz w:val="32"/>
          <w:szCs w:val="32"/>
        </w:rPr>
        <w:t>具体开评标时间，视疫情发展情况，再行调整。对符合进场条件的重大紧急项目，中心将根据情况安排开评标时间和场地。</w:t>
      </w:r>
    </w:p>
    <w:p w:rsidR="0098676D" w:rsidRDefault="00863097" w:rsidP="008221E4">
      <w:pPr>
        <w:ind w:firstLineChars="200" w:firstLine="640"/>
        <w:rPr>
          <w:rFonts w:ascii="仿宋_GB2312" w:eastAsia="仿宋_GB2312"/>
          <w:sz w:val="32"/>
          <w:szCs w:val="32"/>
        </w:rPr>
      </w:pPr>
      <w:bookmarkStart w:id="0" w:name="_GoBack"/>
      <w:bookmarkEnd w:id="0"/>
      <w:r>
        <w:rPr>
          <w:rFonts w:ascii="仿宋" w:eastAsia="仿宋" w:hAnsi="仿宋" w:cs="仿宋" w:hint="eastAsia"/>
          <w:color w:val="000000"/>
          <w:sz w:val="32"/>
          <w:szCs w:val="32"/>
        </w:rPr>
        <w:t>6、</w:t>
      </w:r>
      <w:r>
        <w:rPr>
          <w:rFonts w:ascii="仿宋" w:eastAsia="仿宋" w:hAnsi="仿宋" w:cs="仿宋"/>
          <w:color w:val="000000"/>
          <w:sz w:val="32"/>
          <w:szCs w:val="32"/>
        </w:rPr>
        <w:t>自</w:t>
      </w:r>
      <w:r>
        <w:rPr>
          <w:rFonts w:ascii="仿宋" w:eastAsia="仿宋" w:hAnsi="仿宋" w:cs="仿宋" w:hint="eastAsia"/>
          <w:color w:val="000000"/>
          <w:sz w:val="32"/>
          <w:szCs w:val="32"/>
        </w:rPr>
        <w:t>2020年2月28日起，已经在平顶山市公共资源交易中心网站发布招标公告的重大紧急项目，</w:t>
      </w:r>
      <w:r>
        <w:rPr>
          <w:rFonts w:ascii="仿宋_GB2312" w:eastAsia="仿宋_GB2312" w:hint="eastAsia"/>
          <w:sz w:val="32"/>
          <w:szCs w:val="32"/>
        </w:rPr>
        <w:t>招标人（代理机构）需提供</w:t>
      </w:r>
      <w:r>
        <w:rPr>
          <w:rFonts w:ascii="仿宋_GB2312" w:eastAsia="仿宋_GB2312" w:hAnsi="仿宋" w:hint="eastAsia"/>
          <w:sz w:val="32"/>
          <w:szCs w:val="32"/>
        </w:rPr>
        <w:t>《平顶山市疫情期间重大紧急项目进场交易申请表》扫描件，经中心审查通过后，</w:t>
      </w:r>
      <w:r>
        <w:rPr>
          <w:rFonts w:ascii="仿宋_GB2312" w:eastAsia="仿宋_GB2312" w:hint="eastAsia"/>
          <w:sz w:val="32"/>
          <w:szCs w:val="32"/>
        </w:rPr>
        <w:t>在线重新预约开标时间和开标场地，并发布变更公告。</w:t>
      </w: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pPr>
        <w:rPr>
          <w:rFonts w:ascii="仿宋_GB2312" w:eastAsia="仿宋_GB2312"/>
          <w:sz w:val="32"/>
          <w:szCs w:val="32"/>
        </w:rPr>
      </w:pPr>
    </w:p>
    <w:p w:rsidR="003A345D" w:rsidRDefault="003A345D" w:rsidP="003A345D">
      <w:pPr>
        <w:pStyle w:val="1"/>
        <w:keepNext w:val="0"/>
        <w:keepLines w:val="0"/>
      </w:pPr>
      <w:r>
        <w:rPr>
          <w:rFonts w:hint="eastAsia"/>
        </w:rPr>
        <w:lastRenderedPageBreak/>
        <w:t>不见面受理项目流程操作（代理机构）：</w:t>
      </w:r>
    </w:p>
    <w:p w:rsidR="003A345D" w:rsidRPr="002F29F1" w:rsidRDefault="003A345D" w:rsidP="003A345D">
      <w:pPr>
        <w:spacing w:line="360" w:lineRule="auto"/>
        <w:jc w:val="left"/>
        <w:rPr>
          <w:rFonts w:ascii="宋体" w:hAnsi="宋体"/>
          <w:bCs/>
          <w:sz w:val="24"/>
        </w:rPr>
      </w:pPr>
    </w:p>
    <w:p w:rsidR="003A345D" w:rsidRDefault="003A345D" w:rsidP="003A345D">
      <w:pPr>
        <w:pStyle w:val="3"/>
        <w:keepNext w:val="0"/>
        <w:keepLines w:val="0"/>
      </w:pPr>
      <w:bookmarkStart w:id="1" w:name="_Toc17128223"/>
      <w:r>
        <w:rPr>
          <w:rFonts w:hint="eastAsia"/>
        </w:rPr>
        <w:t>2.1</w:t>
      </w:r>
      <w:bookmarkEnd w:id="1"/>
      <w:r>
        <w:t xml:space="preserve"> </w:t>
      </w:r>
      <w:r>
        <w:rPr>
          <w:rFonts w:hint="eastAsia"/>
        </w:rPr>
        <w:t>不见面受理项目注意事项</w:t>
      </w:r>
    </w:p>
    <w:p w:rsidR="003A345D" w:rsidRDefault="003A345D" w:rsidP="003A345D">
      <w:pPr>
        <w:spacing w:line="360" w:lineRule="auto"/>
        <w:ind w:firstLineChars="200" w:firstLine="480"/>
        <w:jc w:val="left"/>
        <w:rPr>
          <w:noProof/>
        </w:rPr>
      </w:pPr>
      <w:r w:rsidRPr="002F29F1">
        <w:rPr>
          <w:rFonts w:ascii="宋体" w:hAnsi="宋体" w:hint="eastAsia"/>
          <w:bCs/>
          <w:sz w:val="24"/>
        </w:rPr>
        <w:t>立项信息界面，</w:t>
      </w:r>
      <w:r>
        <w:rPr>
          <w:rFonts w:ascii="宋体" w:hAnsi="宋体" w:hint="eastAsia"/>
          <w:bCs/>
          <w:sz w:val="24"/>
        </w:rPr>
        <w:t>项目编号暂由受理处分配填写。</w:t>
      </w:r>
      <w:r>
        <w:rPr>
          <w:noProof/>
        </w:rPr>
        <w:t xml:space="preserve"> </w:t>
      </w:r>
    </w:p>
    <w:p w:rsidR="003A345D" w:rsidRDefault="003A345D" w:rsidP="003A345D">
      <w:pPr>
        <w:spacing w:line="360" w:lineRule="auto"/>
        <w:ind w:firstLineChars="200" w:firstLine="420"/>
        <w:jc w:val="left"/>
        <w:rPr>
          <w:noProof/>
        </w:rPr>
      </w:pPr>
    </w:p>
    <w:p w:rsidR="003A345D" w:rsidRDefault="003A345D" w:rsidP="003A345D">
      <w:pPr>
        <w:spacing w:line="360" w:lineRule="auto"/>
        <w:ind w:firstLineChars="200" w:firstLine="420"/>
        <w:jc w:val="left"/>
        <w:rPr>
          <w:sz w:val="24"/>
        </w:rPr>
      </w:pPr>
      <w:r>
        <w:rPr>
          <w:noProof/>
        </w:rPr>
        <w:drawing>
          <wp:inline distT="0" distB="0" distL="0" distR="0" wp14:anchorId="36F8CCB6" wp14:editId="01D2221C">
            <wp:extent cx="5274310" cy="2527274"/>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527274"/>
                    </a:xfrm>
                    <a:prstGeom prst="rect">
                      <a:avLst/>
                    </a:prstGeom>
                  </pic:spPr>
                </pic:pic>
              </a:graphicData>
            </a:graphic>
          </wp:inline>
        </w:drawing>
      </w:r>
    </w:p>
    <w:p w:rsidR="003A345D" w:rsidRDefault="003A345D" w:rsidP="003A345D">
      <w:pPr>
        <w:spacing w:line="360" w:lineRule="auto"/>
        <w:ind w:firstLineChars="200" w:firstLine="480"/>
        <w:jc w:val="left"/>
        <w:rPr>
          <w:sz w:val="24"/>
        </w:rPr>
      </w:pPr>
    </w:p>
    <w:p w:rsidR="003A345D" w:rsidRDefault="003A345D" w:rsidP="003A345D">
      <w:pPr>
        <w:pStyle w:val="2"/>
        <w:keepNext w:val="0"/>
        <w:keepLines w:val="0"/>
        <w:rPr>
          <w:sz w:val="28"/>
          <w:szCs w:val="18"/>
        </w:rPr>
      </w:pPr>
    </w:p>
    <w:p w:rsidR="003A345D" w:rsidRDefault="003A345D" w:rsidP="003A345D">
      <w:pPr>
        <w:pStyle w:val="2"/>
        <w:keepNext w:val="0"/>
        <w:keepLines w:val="0"/>
        <w:rPr>
          <w:sz w:val="28"/>
          <w:szCs w:val="18"/>
        </w:rPr>
      </w:pPr>
      <w:r w:rsidRPr="00ED2B13">
        <w:rPr>
          <w:rFonts w:hint="eastAsia"/>
          <w:sz w:val="28"/>
          <w:szCs w:val="18"/>
        </w:rPr>
        <w:t>2.2</w:t>
      </w:r>
      <w:r w:rsidRPr="00ED2B13">
        <w:rPr>
          <w:sz w:val="28"/>
          <w:szCs w:val="18"/>
        </w:rPr>
        <w:t xml:space="preserve"> </w:t>
      </w:r>
      <w:r w:rsidRPr="00ED2B13">
        <w:rPr>
          <w:rFonts w:hint="eastAsia"/>
          <w:sz w:val="28"/>
          <w:szCs w:val="18"/>
        </w:rPr>
        <w:t>不见面</w:t>
      </w:r>
      <w:r>
        <w:rPr>
          <w:rFonts w:hint="eastAsia"/>
          <w:sz w:val="28"/>
          <w:szCs w:val="18"/>
        </w:rPr>
        <w:t>场地预约</w:t>
      </w:r>
    </w:p>
    <w:p w:rsidR="003A345D" w:rsidRPr="003A345D" w:rsidRDefault="003A345D" w:rsidP="003A345D"/>
    <w:p w:rsidR="003A345D" w:rsidRDefault="003A345D" w:rsidP="003A345D">
      <w:r>
        <w:rPr>
          <w:rFonts w:hint="eastAsia"/>
        </w:rPr>
        <w:t>代理机构操作界面：</w:t>
      </w:r>
    </w:p>
    <w:p w:rsidR="003A345D" w:rsidRDefault="003A345D" w:rsidP="003A345D">
      <w:r>
        <w:rPr>
          <w:rFonts w:hint="eastAsia"/>
        </w:rPr>
        <w:t>一：点击场地预约、新增申请，勾选对应标段、开标时间，点击提交；</w:t>
      </w:r>
    </w:p>
    <w:p w:rsidR="003A345D" w:rsidRDefault="003A345D" w:rsidP="003A345D">
      <w:r>
        <w:rPr>
          <w:rFonts w:hint="eastAsia"/>
        </w:rPr>
        <w:t>二：点击我的桌面、待办事项，自选场地；</w:t>
      </w:r>
    </w:p>
    <w:p w:rsidR="003A345D" w:rsidRDefault="003A345D" w:rsidP="003A345D">
      <w:r>
        <w:rPr>
          <w:rFonts w:hint="eastAsia"/>
        </w:rPr>
        <w:t>三：通过查询功能，查看具体日期开标场地使用情况。</w:t>
      </w:r>
    </w:p>
    <w:p w:rsidR="003A345D" w:rsidRPr="003F26EF" w:rsidRDefault="003A345D" w:rsidP="003A345D">
      <w:r>
        <w:rPr>
          <w:rFonts w:hint="eastAsia"/>
        </w:rPr>
        <w:t>四：提交场地申请。场地预约流程结束。</w:t>
      </w:r>
    </w:p>
    <w:p w:rsidR="003A345D" w:rsidRDefault="003A345D" w:rsidP="003A345D">
      <w:r>
        <w:rPr>
          <w:noProof/>
        </w:rPr>
        <w:lastRenderedPageBreak/>
        <w:drawing>
          <wp:inline distT="0" distB="0" distL="0" distR="0" wp14:anchorId="4BC930AD" wp14:editId="005D3471">
            <wp:extent cx="5274310" cy="252666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526663"/>
                    </a:xfrm>
                    <a:prstGeom prst="rect">
                      <a:avLst/>
                    </a:prstGeom>
                  </pic:spPr>
                </pic:pic>
              </a:graphicData>
            </a:graphic>
          </wp:inline>
        </w:drawing>
      </w:r>
    </w:p>
    <w:p w:rsidR="003A345D" w:rsidRPr="00D418F5" w:rsidRDefault="003A345D" w:rsidP="003A345D">
      <w:pPr>
        <w:jc w:val="center"/>
        <w:rPr>
          <w:b/>
        </w:rPr>
      </w:pPr>
      <w:r w:rsidRPr="00D418F5">
        <w:rPr>
          <w:rFonts w:hint="eastAsia"/>
          <w:b/>
        </w:rPr>
        <w:t>图一</w:t>
      </w:r>
    </w:p>
    <w:p w:rsidR="003A345D" w:rsidRDefault="003A345D" w:rsidP="003A345D">
      <w:r>
        <w:rPr>
          <w:noProof/>
        </w:rPr>
        <w:drawing>
          <wp:inline distT="0" distB="0" distL="0" distR="0" wp14:anchorId="1AD77553" wp14:editId="56BCB689">
            <wp:extent cx="5274310" cy="258954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589540"/>
                    </a:xfrm>
                    <a:prstGeom prst="rect">
                      <a:avLst/>
                    </a:prstGeom>
                  </pic:spPr>
                </pic:pic>
              </a:graphicData>
            </a:graphic>
          </wp:inline>
        </w:drawing>
      </w:r>
    </w:p>
    <w:p w:rsidR="003A345D" w:rsidRDefault="003A345D" w:rsidP="003A345D">
      <w:pPr>
        <w:jc w:val="center"/>
        <w:rPr>
          <w:b/>
        </w:rPr>
      </w:pPr>
      <w:r w:rsidRPr="00D418F5">
        <w:rPr>
          <w:rFonts w:hint="eastAsia"/>
          <w:b/>
        </w:rPr>
        <w:t>图二</w:t>
      </w:r>
    </w:p>
    <w:p w:rsidR="003A345D" w:rsidRDefault="003A345D" w:rsidP="003A345D">
      <w:pPr>
        <w:jc w:val="center"/>
        <w:rPr>
          <w:b/>
        </w:rPr>
      </w:pPr>
      <w:r>
        <w:rPr>
          <w:noProof/>
        </w:rPr>
        <w:drawing>
          <wp:inline distT="0" distB="0" distL="0" distR="0" wp14:anchorId="396C1B35" wp14:editId="035C8E55">
            <wp:extent cx="5274310" cy="2588319"/>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588319"/>
                    </a:xfrm>
                    <a:prstGeom prst="rect">
                      <a:avLst/>
                    </a:prstGeom>
                  </pic:spPr>
                </pic:pic>
              </a:graphicData>
            </a:graphic>
          </wp:inline>
        </w:drawing>
      </w:r>
    </w:p>
    <w:p w:rsidR="003A345D" w:rsidRDefault="003A345D" w:rsidP="003A345D">
      <w:pPr>
        <w:jc w:val="center"/>
        <w:rPr>
          <w:b/>
        </w:rPr>
      </w:pPr>
      <w:r>
        <w:rPr>
          <w:rFonts w:hint="eastAsia"/>
          <w:b/>
        </w:rPr>
        <w:t>图三</w:t>
      </w:r>
    </w:p>
    <w:p w:rsidR="003A345D" w:rsidRDefault="003A345D" w:rsidP="003A345D">
      <w:pPr>
        <w:ind w:left="422" w:hangingChars="200" w:hanging="422"/>
        <w:jc w:val="left"/>
        <w:rPr>
          <w:b/>
        </w:rPr>
      </w:pPr>
      <w:r>
        <w:rPr>
          <w:rFonts w:hint="eastAsia"/>
          <w:b/>
        </w:rPr>
        <w:lastRenderedPageBreak/>
        <w:t>注：如项目标段多，需要多个开评标室。可在图一处通过勾选对应标段，分次进行预约流程。</w:t>
      </w:r>
    </w:p>
    <w:p w:rsidR="003A345D" w:rsidRPr="003A345D" w:rsidRDefault="003A345D"/>
    <w:sectPr w:rsidR="003A345D" w:rsidRPr="003A345D">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A1" w:rsidRDefault="00C21CA1">
      <w:r>
        <w:separator/>
      </w:r>
    </w:p>
  </w:endnote>
  <w:endnote w:type="continuationSeparator" w:id="0">
    <w:p w:rsidR="00C21CA1" w:rsidRDefault="00C2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AFB22608-7ACF-40B1-97BA-E0480E8E77AE}"/>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59BA31AD-6B0A-460C-B559-9C0D3A3326C0}"/>
  </w:font>
  <w:font w:name="仿宋">
    <w:panose1 w:val="02010609060101010101"/>
    <w:charset w:val="86"/>
    <w:family w:val="modern"/>
    <w:pitch w:val="fixed"/>
    <w:sig w:usb0="800002BF" w:usb1="38CF7CFA" w:usb2="00000016" w:usb3="00000000" w:csb0="00040001" w:csb1="00000000"/>
    <w:embedRegular r:id="rId3" w:subsetted="1" w:fontKey="{C8161F14-9B56-42FC-8532-7EA12362140D}"/>
  </w:font>
  <w:font w:name="方正小标宋简体">
    <w:altName w:val="等线"/>
    <w:charset w:val="86"/>
    <w:family w:val="auto"/>
    <w:pitch w:val="default"/>
    <w:embedBold r:id="rId4" w:subsetted="1" w:fontKey="{0C94BBDA-E1DC-4736-B206-4A80CBA0C0D6}"/>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embedRegular r:id="rId5" w:subsetted="1" w:fontKey="{03FEE7FD-95C3-4B78-BAA9-8747FAF37BF3}"/>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6D" w:rsidRDefault="0086309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676D" w:rsidRDefault="00863097">
                          <w:pPr>
                            <w:pStyle w:val="a3"/>
                          </w:pPr>
                          <w:r>
                            <w:rPr>
                              <w:rFonts w:hint="eastAsia"/>
                            </w:rPr>
                            <w:fldChar w:fldCharType="begin"/>
                          </w:r>
                          <w:r>
                            <w:rPr>
                              <w:rFonts w:hint="eastAsia"/>
                            </w:rPr>
                            <w:instrText xml:space="preserve"> PAGE  \* MERGEFORMAT </w:instrText>
                          </w:r>
                          <w:r>
                            <w:rPr>
                              <w:rFonts w:hint="eastAsia"/>
                            </w:rPr>
                            <w:fldChar w:fldCharType="separate"/>
                          </w:r>
                          <w:r w:rsidR="008221E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8676D" w:rsidRDefault="00863097">
                    <w:pPr>
                      <w:pStyle w:val="a3"/>
                    </w:pPr>
                    <w:r>
                      <w:rPr>
                        <w:rFonts w:hint="eastAsia"/>
                      </w:rPr>
                      <w:fldChar w:fldCharType="begin"/>
                    </w:r>
                    <w:r>
                      <w:rPr>
                        <w:rFonts w:hint="eastAsia"/>
                      </w:rPr>
                      <w:instrText xml:space="preserve"> PAGE  \* MERGEFORMAT </w:instrText>
                    </w:r>
                    <w:r>
                      <w:rPr>
                        <w:rFonts w:hint="eastAsia"/>
                      </w:rPr>
                      <w:fldChar w:fldCharType="separate"/>
                    </w:r>
                    <w:r w:rsidR="008221E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A1" w:rsidRDefault="00C21CA1">
      <w:r>
        <w:separator/>
      </w:r>
    </w:p>
  </w:footnote>
  <w:footnote w:type="continuationSeparator" w:id="0">
    <w:p w:rsidR="00C21CA1" w:rsidRDefault="00C21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55D63"/>
    <w:multiLevelType w:val="singleLevel"/>
    <w:tmpl w:val="DDE55D6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C6FAD"/>
    <w:rsid w:val="003A345D"/>
    <w:rsid w:val="008221E4"/>
    <w:rsid w:val="00863097"/>
    <w:rsid w:val="0098676D"/>
    <w:rsid w:val="00C21CA1"/>
    <w:rsid w:val="0EEF209A"/>
    <w:rsid w:val="177C6FAD"/>
    <w:rsid w:val="27A85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3A345D"/>
    <w:pPr>
      <w:keepNext/>
      <w:keepLines/>
      <w:spacing w:before="120" w:after="120" w:line="360" w:lineRule="auto"/>
      <w:outlineLvl w:val="0"/>
    </w:pPr>
    <w:rPr>
      <w:rFonts w:ascii="Times New Roman" w:eastAsia="宋体" w:hAnsi="Times New Roman" w:cs="Times New Roman"/>
      <w:b/>
      <w:bCs/>
      <w:kern w:val="44"/>
      <w:sz w:val="32"/>
      <w:szCs w:val="28"/>
    </w:rPr>
  </w:style>
  <w:style w:type="paragraph" w:styleId="2">
    <w:name w:val="heading 2"/>
    <w:basedOn w:val="a"/>
    <w:next w:val="a"/>
    <w:link w:val="2Char"/>
    <w:qFormat/>
    <w:rsid w:val="003A345D"/>
    <w:pPr>
      <w:keepNext/>
      <w:keepLines/>
      <w:spacing w:before="120" w:after="120" w:line="360" w:lineRule="auto"/>
      <w:outlineLvl w:val="1"/>
    </w:pPr>
    <w:rPr>
      <w:rFonts w:ascii="Times New Roman" w:eastAsia="宋体" w:hAnsi="Times New Roman" w:cs="Times New Roman"/>
      <w:b/>
      <w:bCs/>
      <w:sz w:val="30"/>
      <w:szCs w:val="32"/>
    </w:rPr>
  </w:style>
  <w:style w:type="paragraph" w:styleId="3">
    <w:name w:val="heading 3"/>
    <w:basedOn w:val="a"/>
    <w:next w:val="a"/>
    <w:link w:val="3Char"/>
    <w:qFormat/>
    <w:rsid w:val="003A345D"/>
    <w:pPr>
      <w:keepNext/>
      <w:keepLines/>
      <w:spacing w:before="120" w:after="120" w:line="360" w:lineRule="auto"/>
      <w:outlineLvl w:val="2"/>
    </w:pPr>
    <w:rPr>
      <w:rFonts w:ascii="Times New Roman" w:eastAsia="宋体" w:hAnsi="Times New Roman" w:cs="Times New Roman"/>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qFormat/>
    <w:rsid w:val="003A345D"/>
    <w:rPr>
      <w:rFonts w:ascii="Times New Roman" w:eastAsia="宋体" w:hAnsi="Times New Roman" w:cs="Times New Roman"/>
      <w:b/>
      <w:bCs/>
      <w:kern w:val="44"/>
      <w:sz w:val="32"/>
      <w:szCs w:val="28"/>
    </w:rPr>
  </w:style>
  <w:style w:type="character" w:customStyle="1" w:styleId="2Char">
    <w:name w:val="标题 2 Char"/>
    <w:basedOn w:val="a0"/>
    <w:link w:val="2"/>
    <w:qFormat/>
    <w:rsid w:val="003A345D"/>
    <w:rPr>
      <w:rFonts w:ascii="Times New Roman" w:eastAsia="宋体" w:hAnsi="Times New Roman" w:cs="Times New Roman"/>
      <w:b/>
      <w:bCs/>
      <w:kern w:val="2"/>
      <w:sz w:val="30"/>
      <w:szCs w:val="32"/>
    </w:rPr>
  </w:style>
  <w:style w:type="character" w:customStyle="1" w:styleId="3Char">
    <w:name w:val="标题 3 Char"/>
    <w:basedOn w:val="a0"/>
    <w:link w:val="3"/>
    <w:qFormat/>
    <w:rsid w:val="003A345D"/>
    <w:rPr>
      <w:rFonts w:ascii="Times New Roman" w:eastAsia="宋体" w:hAnsi="Times New Roman" w:cs="Times New Roman"/>
      <w:b/>
      <w:bCs/>
      <w:kern w:val="2"/>
      <w:sz w:val="28"/>
      <w:szCs w:val="18"/>
    </w:rPr>
  </w:style>
  <w:style w:type="paragraph" w:styleId="a5">
    <w:name w:val="Balloon Text"/>
    <w:basedOn w:val="a"/>
    <w:link w:val="Char"/>
    <w:rsid w:val="003A345D"/>
    <w:rPr>
      <w:sz w:val="18"/>
      <w:szCs w:val="18"/>
    </w:rPr>
  </w:style>
  <w:style w:type="character" w:customStyle="1" w:styleId="Char">
    <w:name w:val="批注框文本 Char"/>
    <w:basedOn w:val="a0"/>
    <w:link w:val="a5"/>
    <w:rsid w:val="003A34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3A345D"/>
    <w:pPr>
      <w:keepNext/>
      <w:keepLines/>
      <w:spacing w:before="120" w:after="120" w:line="360" w:lineRule="auto"/>
      <w:outlineLvl w:val="0"/>
    </w:pPr>
    <w:rPr>
      <w:rFonts w:ascii="Times New Roman" w:eastAsia="宋体" w:hAnsi="Times New Roman" w:cs="Times New Roman"/>
      <w:b/>
      <w:bCs/>
      <w:kern w:val="44"/>
      <w:sz w:val="32"/>
      <w:szCs w:val="28"/>
    </w:rPr>
  </w:style>
  <w:style w:type="paragraph" w:styleId="2">
    <w:name w:val="heading 2"/>
    <w:basedOn w:val="a"/>
    <w:next w:val="a"/>
    <w:link w:val="2Char"/>
    <w:qFormat/>
    <w:rsid w:val="003A345D"/>
    <w:pPr>
      <w:keepNext/>
      <w:keepLines/>
      <w:spacing w:before="120" w:after="120" w:line="360" w:lineRule="auto"/>
      <w:outlineLvl w:val="1"/>
    </w:pPr>
    <w:rPr>
      <w:rFonts w:ascii="Times New Roman" w:eastAsia="宋体" w:hAnsi="Times New Roman" w:cs="Times New Roman"/>
      <w:b/>
      <w:bCs/>
      <w:sz w:val="30"/>
      <w:szCs w:val="32"/>
    </w:rPr>
  </w:style>
  <w:style w:type="paragraph" w:styleId="3">
    <w:name w:val="heading 3"/>
    <w:basedOn w:val="a"/>
    <w:next w:val="a"/>
    <w:link w:val="3Char"/>
    <w:qFormat/>
    <w:rsid w:val="003A345D"/>
    <w:pPr>
      <w:keepNext/>
      <w:keepLines/>
      <w:spacing w:before="120" w:after="120" w:line="360" w:lineRule="auto"/>
      <w:outlineLvl w:val="2"/>
    </w:pPr>
    <w:rPr>
      <w:rFonts w:ascii="Times New Roman" w:eastAsia="宋体" w:hAnsi="Times New Roman" w:cs="Times New Roman"/>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qFormat/>
    <w:rsid w:val="003A345D"/>
    <w:rPr>
      <w:rFonts w:ascii="Times New Roman" w:eastAsia="宋体" w:hAnsi="Times New Roman" w:cs="Times New Roman"/>
      <w:b/>
      <w:bCs/>
      <w:kern w:val="44"/>
      <w:sz w:val="32"/>
      <w:szCs w:val="28"/>
    </w:rPr>
  </w:style>
  <w:style w:type="character" w:customStyle="1" w:styleId="2Char">
    <w:name w:val="标题 2 Char"/>
    <w:basedOn w:val="a0"/>
    <w:link w:val="2"/>
    <w:qFormat/>
    <w:rsid w:val="003A345D"/>
    <w:rPr>
      <w:rFonts w:ascii="Times New Roman" w:eastAsia="宋体" w:hAnsi="Times New Roman" w:cs="Times New Roman"/>
      <w:b/>
      <w:bCs/>
      <w:kern w:val="2"/>
      <w:sz w:val="30"/>
      <w:szCs w:val="32"/>
    </w:rPr>
  </w:style>
  <w:style w:type="character" w:customStyle="1" w:styleId="3Char">
    <w:name w:val="标题 3 Char"/>
    <w:basedOn w:val="a0"/>
    <w:link w:val="3"/>
    <w:qFormat/>
    <w:rsid w:val="003A345D"/>
    <w:rPr>
      <w:rFonts w:ascii="Times New Roman" w:eastAsia="宋体" w:hAnsi="Times New Roman" w:cs="Times New Roman"/>
      <w:b/>
      <w:bCs/>
      <w:kern w:val="2"/>
      <w:sz w:val="28"/>
      <w:szCs w:val="18"/>
    </w:rPr>
  </w:style>
  <w:style w:type="paragraph" w:styleId="a5">
    <w:name w:val="Balloon Text"/>
    <w:basedOn w:val="a"/>
    <w:link w:val="Char"/>
    <w:rsid w:val="003A345D"/>
    <w:rPr>
      <w:sz w:val="18"/>
      <w:szCs w:val="18"/>
    </w:rPr>
  </w:style>
  <w:style w:type="character" w:customStyle="1" w:styleId="Char">
    <w:name w:val="批注框文本 Char"/>
    <w:basedOn w:val="a0"/>
    <w:link w:val="a5"/>
    <w:rsid w:val="003A34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家隆</dc:creator>
  <cp:lastModifiedBy>平顶山市公共资源交易中心:平顶山市管理员</cp:lastModifiedBy>
  <cp:revision>3</cp:revision>
  <dcterms:created xsi:type="dcterms:W3CDTF">2020-02-28T08:39:00Z</dcterms:created>
  <dcterms:modified xsi:type="dcterms:W3CDTF">2020-02-28T09:11:00Z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