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312" w:tblpY="566"/>
        <w:tblOverlap w:val="never"/>
        <w:tblW w:w="9615" w:type="dxa"/>
        <w:tblInd w:w="0" w:type="dxa"/>
        <w:tblLayout w:type="fixed"/>
        <w:tblCellMar>
          <w:top w:w="15" w:type="dxa"/>
          <w:left w:w="15" w:type="dxa"/>
          <w:bottom w:w="15" w:type="dxa"/>
          <w:right w:w="15" w:type="dxa"/>
        </w:tblCellMar>
      </w:tblPr>
      <w:tblGrid>
        <w:gridCol w:w="504"/>
        <w:gridCol w:w="529"/>
        <w:gridCol w:w="557"/>
        <w:gridCol w:w="2222"/>
        <w:gridCol w:w="3928"/>
        <w:gridCol w:w="525"/>
        <w:gridCol w:w="617"/>
        <w:gridCol w:w="733"/>
      </w:tblGrid>
      <w:tr>
        <w:tblPrEx>
          <w:tblLayout w:type="fixed"/>
          <w:tblCellMar>
            <w:top w:w="15" w:type="dxa"/>
            <w:left w:w="15" w:type="dxa"/>
            <w:bottom w:w="15" w:type="dxa"/>
            <w:right w:w="15" w:type="dxa"/>
          </w:tblCellMar>
        </w:tblPrEx>
        <w:trPr>
          <w:trHeight w:val="660" w:hRule="atLeast"/>
        </w:trPr>
        <w:tc>
          <w:tcPr>
            <w:tcW w:w="8265" w:type="dxa"/>
            <w:gridSpan w:val="6"/>
            <w:vAlign w:val="center"/>
          </w:tcPr>
          <w:p>
            <w:pPr>
              <w:widowControl/>
              <w:jc w:val="center"/>
              <w:textAlignment w:val="center"/>
              <w:rPr>
                <w:rFonts w:hint="eastAsia" w:ascii="宋体" w:hAnsi="宋体"/>
                <w:b/>
                <w:color w:val="000000"/>
                <w:sz w:val="32"/>
                <w:szCs w:val="32"/>
              </w:rPr>
            </w:pPr>
            <w:r>
              <w:rPr>
                <w:rFonts w:hint="eastAsia" w:ascii="宋体" w:hAnsi="宋体"/>
                <w:b/>
                <w:color w:val="000000"/>
                <w:kern w:val="0"/>
                <w:sz w:val="32"/>
                <w:szCs w:val="32"/>
                <w:lang w:bidi="ar"/>
              </w:rPr>
              <w:t xml:space="preserve">   平顶山市农村土地承包经营权管理信息系统建设及数据汇总项目建设内容</w:t>
            </w:r>
          </w:p>
        </w:tc>
        <w:tc>
          <w:tcPr>
            <w:tcW w:w="1350" w:type="dxa"/>
            <w:gridSpan w:val="2"/>
            <w:vAlign w:val="center"/>
          </w:tcPr>
          <w:p>
            <w:pPr>
              <w:widowControl/>
              <w:jc w:val="center"/>
              <w:textAlignment w:val="center"/>
              <w:rPr>
                <w:rFonts w:hint="eastAsia" w:ascii="宋体" w:hAnsi="宋体"/>
                <w:b/>
                <w:color w:val="000000"/>
                <w:kern w:val="0"/>
                <w:sz w:val="32"/>
                <w:szCs w:val="32"/>
                <w:lang w:bidi="ar"/>
              </w:rPr>
            </w:pPr>
          </w:p>
        </w:tc>
      </w:tr>
      <w:tr>
        <w:tblPrEx>
          <w:tblLayout w:type="fixed"/>
          <w:tblCellMar>
            <w:top w:w="15" w:type="dxa"/>
            <w:left w:w="15" w:type="dxa"/>
            <w:bottom w:w="15" w:type="dxa"/>
            <w:right w:w="15" w:type="dxa"/>
          </w:tblCellMar>
        </w:tblPrEx>
        <w:trPr>
          <w:trHeight w:val="375" w:hRule="atLeast"/>
        </w:trPr>
        <w:tc>
          <w:tcPr>
            <w:tcW w:w="504" w:type="dxa"/>
            <w:tcBorders>
              <w:top w:val="single" w:color="000000" w:sz="12" w:space="0"/>
              <w:left w:val="single" w:color="000000" w:sz="12" w:space="0"/>
              <w:bottom w:val="single" w:color="000000" w:sz="4" w:space="0"/>
              <w:right w:val="single" w:color="000000" w:sz="4" w:space="0"/>
            </w:tcBorders>
            <w:shd w:val="clear" w:color="auto" w:fill="92D050"/>
            <w:vAlign w:val="center"/>
          </w:tcPr>
          <w:p>
            <w:pPr>
              <w:widowControl/>
              <w:jc w:val="center"/>
              <w:textAlignment w:val="center"/>
              <w:rPr>
                <w:rFonts w:hint="eastAsia" w:ascii="宋体" w:hAnsi="宋体"/>
                <w:b/>
                <w:color w:val="000000"/>
                <w:szCs w:val="21"/>
              </w:rPr>
            </w:pPr>
            <w:r>
              <w:rPr>
                <w:rFonts w:hint="eastAsia" w:ascii="宋体" w:hAnsi="宋体"/>
                <w:b/>
                <w:color w:val="000000"/>
                <w:kern w:val="0"/>
                <w:szCs w:val="21"/>
                <w:lang w:bidi="ar"/>
              </w:rPr>
              <w:t>序号</w:t>
            </w:r>
          </w:p>
        </w:tc>
        <w:tc>
          <w:tcPr>
            <w:tcW w:w="3308" w:type="dxa"/>
            <w:gridSpan w:val="3"/>
            <w:tcBorders>
              <w:top w:val="single" w:color="000000" w:sz="12" w:space="0"/>
              <w:left w:val="single" w:color="000000" w:sz="4" w:space="0"/>
              <w:bottom w:val="single" w:color="000000" w:sz="4" w:space="0"/>
            </w:tcBorders>
            <w:shd w:val="clear" w:color="auto" w:fill="92D050"/>
            <w:vAlign w:val="center"/>
          </w:tcPr>
          <w:p>
            <w:pPr>
              <w:widowControl/>
              <w:jc w:val="center"/>
              <w:textAlignment w:val="center"/>
              <w:rPr>
                <w:rFonts w:hint="eastAsia" w:ascii="宋体" w:hAnsi="宋体"/>
                <w:b/>
                <w:color w:val="000000"/>
                <w:szCs w:val="21"/>
              </w:rPr>
            </w:pPr>
            <w:r>
              <w:rPr>
                <w:rFonts w:hint="eastAsia" w:ascii="宋体" w:hAnsi="宋体"/>
                <w:b/>
                <w:color w:val="000000"/>
                <w:kern w:val="0"/>
                <w:szCs w:val="21"/>
                <w:lang w:bidi="ar"/>
              </w:rPr>
              <w:t>项目内容</w:t>
            </w:r>
          </w:p>
        </w:tc>
        <w:tc>
          <w:tcPr>
            <w:tcW w:w="3928" w:type="dxa"/>
            <w:tcBorders>
              <w:top w:val="single" w:color="000000" w:sz="12" w:space="0"/>
              <w:bottom w:val="single" w:color="000000" w:sz="4" w:space="0"/>
              <w:right w:val="single" w:color="000000" w:sz="4" w:space="0"/>
            </w:tcBorders>
            <w:shd w:val="clear" w:color="auto" w:fill="92D050"/>
            <w:vAlign w:val="center"/>
          </w:tcPr>
          <w:p>
            <w:pPr>
              <w:widowControl/>
              <w:jc w:val="center"/>
              <w:textAlignment w:val="center"/>
              <w:rPr>
                <w:rFonts w:hint="eastAsia" w:ascii="宋体" w:hAnsi="宋体"/>
                <w:b/>
                <w:color w:val="000000"/>
                <w:szCs w:val="21"/>
              </w:rPr>
            </w:pPr>
            <w:r>
              <w:rPr>
                <w:rFonts w:hint="eastAsia" w:ascii="宋体" w:hAnsi="宋体"/>
                <w:b/>
                <w:color w:val="000000"/>
                <w:kern w:val="0"/>
                <w:szCs w:val="21"/>
                <w:lang w:bidi="ar"/>
              </w:rPr>
              <w:t>参数</w:t>
            </w:r>
          </w:p>
        </w:tc>
        <w:tc>
          <w:tcPr>
            <w:tcW w:w="1142" w:type="dxa"/>
            <w:gridSpan w:val="2"/>
            <w:tcBorders>
              <w:top w:val="single" w:color="000000" w:sz="12" w:space="0"/>
              <w:left w:val="single" w:color="000000" w:sz="4" w:space="0"/>
              <w:bottom w:val="single" w:color="000000" w:sz="4" w:space="0"/>
              <w:right w:val="single" w:color="000000" w:sz="4" w:space="0"/>
            </w:tcBorders>
            <w:shd w:val="clear" w:color="auto" w:fill="92D050"/>
            <w:vAlign w:val="center"/>
          </w:tcPr>
          <w:p>
            <w:pPr>
              <w:widowControl/>
              <w:jc w:val="center"/>
              <w:textAlignment w:val="center"/>
              <w:rPr>
                <w:rFonts w:hint="eastAsia" w:ascii="宋体" w:hAnsi="宋体"/>
                <w:b/>
                <w:color w:val="000000"/>
                <w:szCs w:val="21"/>
              </w:rPr>
            </w:pPr>
            <w:r>
              <w:rPr>
                <w:rFonts w:hint="eastAsia" w:ascii="宋体" w:hAnsi="宋体"/>
                <w:b/>
                <w:color w:val="000000"/>
                <w:kern w:val="0"/>
                <w:szCs w:val="21"/>
                <w:lang w:bidi="ar"/>
              </w:rPr>
              <w:t>数量</w:t>
            </w:r>
          </w:p>
        </w:tc>
        <w:tc>
          <w:tcPr>
            <w:tcW w:w="733" w:type="dxa"/>
            <w:tcBorders>
              <w:top w:val="single" w:color="000000" w:sz="12" w:space="0"/>
              <w:left w:val="single" w:color="000000" w:sz="4" w:space="0"/>
              <w:bottom w:val="single" w:color="000000" w:sz="4" w:space="0"/>
              <w:right w:val="single" w:color="000000" w:sz="12" w:space="0"/>
            </w:tcBorders>
            <w:shd w:val="clear" w:color="auto" w:fill="92D050"/>
            <w:vAlign w:val="center"/>
          </w:tcPr>
          <w:p>
            <w:pPr>
              <w:widowControl/>
              <w:jc w:val="center"/>
              <w:textAlignment w:val="center"/>
              <w:rPr>
                <w:rFonts w:hint="eastAsia" w:ascii="宋体" w:hAnsi="宋体"/>
                <w:b/>
                <w:color w:val="000000"/>
                <w:kern w:val="0"/>
                <w:szCs w:val="21"/>
                <w:lang w:bidi="ar"/>
              </w:rPr>
            </w:pPr>
            <w:r>
              <w:rPr>
                <w:rFonts w:hint="eastAsia" w:ascii="宋体" w:hAnsi="宋体"/>
                <w:b/>
                <w:color w:val="000000"/>
                <w:kern w:val="0"/>
                <w:szCs w:val="21"/>
                <w:lang w:bidi="ar"/>
              </w:rPr>
              <w:t>备注</w:t>
            </w:r>
          </w:p>
        </w:tc>
      </w:tr>
      <w:tr>
        <w:tblPrEx>
          <w:tblLayout w:type="fixed"/>
          <w:tblCellMar>
            <w:top w:w="15" w:type="dxa"/>
            <w:left w:w="15" w:type="dxa"/>
            <w:bottom w:w="15" w:type="dxa"/>
            <w:right w:w="15" w:type="dxa"/>
          </w:tblCellMar>
        </w:tblPrEx>
        <w:trPr>
          <w:trHeight w:val="600" w:hRule="atLeast"/>
        </w:trPr>
        <w:tc>
          <w:tcPr>
            <w:tcW w:w="504"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color w:val="000000"/>
                <w:kern w:val="0"/>
                <w:szCs w:val="21"/>
                <w:lang w:bidi="ar"/>
              </w:rPr>
              <w:t>1</w:t>
            </w:r>
          </w:p>
        </w:tc>
        <w:tc>
          <w:tcPr>
            <w:tcW w:w="330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b/>
                <w:color w:val="000000"/>
                <w:szCs w:val="21"/>
              </w:rPr>
            </w:pPr>
            <w:r>
              <w:rPr>
                <w:rFonts w:hint="eastAsia" w:ascii="宋体" w:hAnsi="宋体"/>
                <w:b/>
                <w:color w:val="000000"/>
                <w:kern w:val="0"/>
                <w:szCs w:val="21"/>
                <w:lang w:bidi="ar"/>
              </w:rPr>
              <w:t>平顶山市确权登记数据整理及数据库建设</w:t>
            </w:r>
          </w:p>
        </w:tc>
        <w:tc>
          <w:tcPr>
            <w:tcW w:w="39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color w:val="000000"/>
                <w:kern w:val="0"/>
                <w:szCs w:val="21"/>
                <w:lang w:bidi="ar"/>
              </w:rPr>
              <w:t>——</w:t>
            </w:r>
          </w:p>
        </w:tc>
        <w:tc>
          <w:tcPr>
            <w:tcW w:w="11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p>
        </w:tc>
        <w:tc>
          <w:tcPr>
            <w:tcW w:w="733"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color w:val="000000"/>
                <w:szCs w:val="21"/>
              </w:rPr>
            </w:pPr>
          </w:p>
        </w:tc>
      </w:tr>
      <w:tr>
        <w:tblPrEx>
          <w:tblLayout w:type="fixed"/>
          <w:tblCellMar>
            <w:top w:w="15" w:type="dxa"/>
            <w:left w:w="15" w:type="dxa"/>
            <w:bottom w:w="15" w:type="dxa"/>
            <w:right w:w="15" w:type="dxa"/>
          </w:tblCellMar>
        </w:tblPrEx>
        <w:trPr>
          <w:trHeight w:val="855" w:hRule="atLeast"/>
        </w:trPr>
        <w:tc>
          <w:tcPr>
            <w:tcW w:w="504"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color w:val="000000"/>
                <w:kern w:val="0"/>
                <w:szCs w:val="21"/>
                <w:lang w:bidi="ar"/>
              </w:rPr>
              <w:t>2</w:t>
            </w:r>
          </w:p>
        </w:tc>
        <w:tc>
          <w:tcPr>
            <w:tcW w:w="5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b/>
                <w:color w:val="000000"/>
                <w:szCs w:val="21"/>
              </w:rPr>
            </w:pPr>
            <w:r>
              <w:rPr>
                <w:rFonts w:hint="eastAsia" w:ascii="宋体" w:hAnsi="宋体"/>
                <w:b/>
                <w:color w:val="000000"/>
                <w:kern w:val="0"/>
                <w:szCs w:val="21"/>
                <w:lang w:bidi="ar"/>
              </w:rPr>
              <w:t>管理信息系统平台建设</w:t>
            </w:r>
          </w:p>
        </w:tc>
        <w:tc>
          <w:tcPr>
            <w:tcW w:w="5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color w:val="000000"/>
                <w:kern w:val="0"/>
                <w:szCs w:val="21"/>
                <w:lang w:bidi="ar"/>
              </w:rPr>
              <w:t>软件</w:t>
            </w:r>
          </w:p>
        </w:tc>
        <w:tc>
          <w:tcPr>
            <w:tcW w:w="2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sz w:val="21"/>
                <w:szCs w:val="21"/>
              </w:rPr>
              <w:t>市级确权登记数据库管理系统</w:t>
            </w:r>
          </w:p>
        </w:tc>
        <w:tc>
          <w:tcPr>
            <w:tcW w:w="3928" w:type="dxa"/>
            <w:tcBorders>
              <w:top w:val="single" w:color="000000" w:sz="4" w:space="0"/>
              <w:left w:val="single" w:color="000000" w:sz="4" w:space="0"/>
              <w:bottom w:val="single" w:color="000000" w:sz="4" w:space="0"/>
              <w:right w:val="single" w:color="000000" w:sz="4" w:space="0"/>
            </w:tcBorders>
            <w:vAlign w:val="center"/>
          </w:tcPr>
          <w:p>
            <w:pPr>
              <w:pStyle w:val="2"/>
              <w:spacing w:line="360" w:lineRule="auto"/>
              <w:rPr>
                <w:rFonts w:hint="eastAsia" w:ascii="宋体" w:hAnsi="宋体" w:cs="宋体"/>
                <w:sz w:val="21"/>
                <w:szCs w:val="21"/>
                <w:lang w:val="zh-CN"/>
              </w:rPr>
            </w:pPr>
            <w:r>
              <w:rPr>
                <w:rFonts w:hint="eastAsia" w:ascii="宋体" w:hAnsi="宋体" w:cs="宋体"/>
                <w:sz w:val="21"/>
                <w:szCs w:val="21"/>
                <w:lang w:val="zh-CN"/>
              </w:rPr>
              <w:t>1、调查数据管理</w:t>
            </w:r>
          </w:p>
          <w:p>
            <w:pPr>
              <w:pStyle w:val="2"/>
              <w:spacing w:line="360" w:lineRule="auto"/>
              <w:rPr>
                <w:rFonts w:hint="eastAsia" w:ascii="宋体" w:hAnsi="宋体" w:cs="宋体"/>
                <w:sz w:val="21"/>
                <w:szCs w:val="21"/>
                <w:lang w:val="zh-CN"/>
              </w:rPr>
            </w:pPr>
            <w:r>
              <w:rPr>
                <w:rFonts w:hint="eastAsia" w:ascii="宋体" w:hAnsi="宋体" w:cs="宋体"/>
                <w:sz w:val="21"/>
                <w:szCs w:val="21"/>
                <w:lang w:val="zh-CN"/>
              </w:rPr>
              <w:t>实现入库资料的一体化管理，包括发包方管理、承包方管理、地块管理。</w:t>
            </w:r>
          </w:p>
          <w:p>
            <w:pPr>
              <w:pStyle w:val="2"/>
              <w:spacing w:line="360" w:lineRule="auto"/>
              <w:rPr>
                <w:rFonts w:hint="eastAsia" w:ascii="宋体" w:hAnsi="宋体" w:cs="宋体"/>
                <w:sz w:val="21"/>
                <w:szCs w:val="21"/>
                <w:lang w:val="zh-CN"/>
              </w:rPr>
            </w:pPr>
            <w:r>
              <w:rPr>
                <w:rFonts w:hint="eastAsia" w:ascii="宋体" w:hAnsi="宋体" w:cs="宋体"/>
                <w:sz w:val="21"/>
                <w:szCs w:val="21"/>
                <w:lang w:val="zh-CN"/>
              </w:rPr>
              <w:t>2、承包合同管理</w:t>
            </w:r>
          </w:p>
          <w:p>
            <w:pPr>
              <w:pStyle w:val="2"/>
              <w:spacing w:line="360" w:lineRule="auto"/>
              <w:rPr>
                <w:rFonts w:hint="eastAsia" w:ascii="宋体" w:hAnsi="宋体" w:cs="宋体"/>
                <w:sz w:val="21"/>
                <w:szCs w:val="21"/>
                <w:lang w:val="zh-CN"/>
              </w:rPr>
            </w:pPr>
            <w:r>
              <w:rPr>
                <w:rFonts w:hint="eastAsia" w:ascii="宋体" w:hAnsi="宋体" w:cs="宋体"/>
                <w:sz w:val="21"/>
                <w:szCs w:val="21"/>
                <w:lang w:val="zh-CN"/>
              </w:rPr>
              <w:t>包括家庭承包、其他方式承包的合同管理，通过合同实现发包方、承包方、地块的关联管理，可以交互定位查看地块图形。</w:t>
            </w:r>
          </w:p>
          <w:p>
            <w:pPr>
              <w:pStyle w:val="2"/>
              <w:spacing w:line="360" w:lineRule="auto"/>
              <w:rPr>
                <w:rFonts w:hint="eastAsia" w:ascii="宋体" w:hAnsi="宋体" w:cs="宋体"/>
                <w:sz w:val="21"/>
                <w:szCs w:val="21"/>
                <w:lang w:val="zh-CN"/>
              </w:rPr>
            </w:pPr>
            <w:r>
              <w:rPr>
                <w:rFonts w:hint="eastAsia" w:ascii="宋体" w:hAnsi="宋体" w:cs="宋体"/>
                <w:sz w:val="21"/>
                <w:szCs w:val="21"/>
                <w:lang w:val="zh-CN"/>
              </w:rPr>
              <w:t>3、登记管理</w:t>
            </w:r>
          </w:p>
          <w:p>
            <w:pPr>
              <w:pStyle w:val="2"/>
              <w:spacing w:line="360" w:lineRule="auto"/>
              <w:rPr>
                <w:rFonts w:hint="eastAsia" w:ascii="宋体" w:hAnsi="宋体" w:cs="宋体"/>
                <w:sz w:val="21"/>
                <w:szCs w:val="21"/>
                <w:lang w:val="zh-CN"/>
              </w:rPr>
            </w:pPr>
            <w:r>
              <w:rPr>
                <w:rFonts w:hint="eastAsia" w:ascii="宋体" w:hAnsi="宋体" w:cs="宋体"/>
                <w:sz w:val="21"/>
                <w:szCs w:val="21"/>
                <w:lang w:val="zh-CN"/>
              </w:rPr>
              <w:t>包括家庭承包登记管理、其他方式承包登记管理以及权证管理。基于工作流技术、表格表单技术实现不同类型的登记管理，实现的登记类型主要包括初始登记、转让登记、互换登记、征占用登记、分户登记、合户登记等。</w:t>
            </w:r>
          </w:p>
          <w:p>
            <w:pPr>
              <w:pStyle w:val="2"/>
              <w:spacing w:line="360" w:lineRule="auto"/>
              <w:rPr>
                <w:rFonts w:hint="eastAsia" w:ascii="宋体" w:hAnsi="宋体" w:cs="宋体"/>
                <w:sz w:val="21"/>
                <w:szCs w:val="21"/>
                <w:lang w:val="zh-CN"/>
              </w:rPr>
            </w:pPr>
            <w:r>
              <w:rPr>
                <w:rFonts w:hint="eastAsia" w:ascii="宋体" w:hAnsi="宋体" w:cs="宋体"/>
                <w:sz w:val="21"/>
                <w:szCs w:val="21"/>
                <w:lang w:val="zh-CN"/>
              </w:rPr>
              <w:t>4、流转管理</w:t>
            </w:r>
          </w:p>
          <w:p>
            <w:pPr>
              <w:pStyle w:val="2"/>
              <w:spacing w:line="360" w:lineRule="auto"/>
              <w:rPr>
                <w:rFonts w:hint="eastAsia" w:ascii="宋体" w:hAnsi="宋体" w:cs="宋体"/>
                <w:sz w:val="21"/>
                <w:szCs w:val="21"/>
                <w:lang w:val="zh-CN"/>
              </w:rPr>
            </w:pPr>
            <w:r>
              <w:rPr>
                <w:rFonts w:hint="eastAsia" w:ascii="宋体" w:hAnsi="宋体" w:cs="宋体"/>
                <w:sz w:val="21"/>
                <w:szCs w:val="21"/>
                <w:lang w:val="zh-CN"/>
              </w:rPr>
              <w:t>可对农村土地承包经营权流转各方的基本信实现存储和管理，并能生成流转台账。</w:t>
            </w:r>
          </w:p>
          <w:p>
            <w:pPr>
              <w:pStyle w:val="2"/>
              <w:spacing w:line="360" w:lineRule="auto"/>
              <w:rPr>
                <w:rFonts w:hint="eastAsia" w:ascii="宋体" w:hAnsi="宋体" w:cs="宋体"/>
                <w:sz w:val="21"/>
                <w:szCs w:val="21"/>
                <w:lang w:val="zh-CN"/>
              </w:rPr>
            </w:pPr>
            <w:r>
              <w:rPr>
                <w:rFonts w:hint="eastAsia" w:ascii="宋体" w:hAnsi="宋体" w:cs="宋体"/>
                <w:sz w:val="21"/>
                <w:szCs w:val="21"/>
                <w:lang w:val="zh-CN"/>
              </w:rPr>
              <w:t>5、纠纷仲裁管理</w:t>
            </w:r>
          </w:p>
          <w:p>
            <w:pPr>
              <w:pStyle w:val="2"/>
              <w:spacing w:line="360" w:lineRule="auto"/>
              <w:rPr>
                <w:rFonts w:hint="eastAsia" w:ascii="宋体" w:hAnsi="宋体" w:cs="宋体"/>
                <w:sz w:val="21"/>
                <w:szCs w:val="21"/>
                <w:lang w:val="zh-CN"/>
              </w:rPr>
            </w:pPr>
            <w:r>
              <w:rPr>
                <w:rFonts w:hint="eastAsia" w:ascii="宋体" w:hAnsi="宋体" w:cs="宋体"/>
                <w:sz w:val="21"/>
                <w:szCs w:val="21"/>
                <w:lang w:val="zh-CN"/>
              </w:rPr>
              <w:t>可对农村土地承包经营权过程中所产生的纠纷进行登记、申请、受理、调解、裁决等处理过程进行管理，以及对信访工作的登记及事件处理过程的管理。</w:t>
            </w:r>
          </w:p>
          <w:p>
            <w:pPr>
              <w:pStyle w:val="2"/>
              <w:spacing w:line="360" w:lineRule="auto"/>
              <w:rPr>
                <w:rFonts w:hint="eastAsia" w:ascii="宋体" w:hAnsi="宋体" w:cs="宋体"/>
                <w:sz w:val="21"/>
                <w:szCs w:val="21"/>
                <w:lang w:val="zh-CN"/>
              </w:rPr>
            </w:pPr>
            <w:r>
              <w:rPr>
                <w:rFonts w:hint="eastAsia" w:ascii="宋体" w:hAnsi="宋体" w:cs="宋体"/>
                <w:sz w:val="21"/>
                <w:szCs w:val="21"/>
                <w:lang w:val="zh-CN"/>
              </w:rPr>
              <w:t>6、查询统计</w:t>
            </w:r>
          </w:p>
          <w:p>
            <w:pPr>
              <w:pStyle w:val="2"/>
              <w:spacing w:line="360" w:lineRule="auto"/>
              <w:rPr>
                <w:rFonts w:hint="eastAsia" w:ascii="宋体" w:hAnsi="宋体" w:cs="宋体"/>
                <w:sz w:val="21"/>
                <w:szCs w:val="21"/>
                <w:lang w:val="zh-CN"/>
              </w:rPr>
            </w:pPr>
            <w:r>
              <w:rPr>
                <w:rFonts w:hint="eastAsia" w:ascii="宋体" w:hAnsi="宋体" w:cs="宋体"/>
                <w:sz w:val="21"/>
                <w:szCs w:val="21"/>
                <w:lang w:val="zh-CN"/>
              </w:rPr>
              <w:t>可对农村土地承包经营权登记业务进行查询和统计，查询结果可导出为Excel、Word等文档，统计结果可以统计图表的形式输出、打印。</w:t>
            </w:r>
          </w:p>
          <w:p>
            <w:pPr>
              <w:pStyle w:val="2"/>
              <w:spacing w:line="360" w:lineRule="auto"/>
              <w:rPr>
                <w:rFonts w:hint="eastAsia" w:ascii="宋体" w:hAnsi="宋体" w:cs="宋体"/>
                <w:sz w:val="21"/>
                <w:szCs w:val="21"/>
                <w:lang w:val="zh-CN"/>
              </w:rPr>
            </w:pPr>
            <w:r>
              <w:rPr>
                <w:rFonts w:hint="eastAsia" w:ascii="宋体" w:hAnsi="宋体" w:cs="宋体"/>
                <w:sz w:val="21"/>
                <w:szCs w:val="21"/>
                <w:lang w:val="zh-CN"/>
              </w:rPr>
              <w:t>7、历史数据管理与归档</w:t>
            </w:r>
          </w:p>
          <w:p>
            <w:pPr>
              <w:pStyle w:val="2"/>
              <w:spacing w:line="360" w:lineRule="auto"/>
              <w:rPr>
                <w:rFonts w:hint="eastAsia" w:ascii="宋体" w:hAnsi="宋体" w:cs="宋体"/>
                <w:sz w:val="21"/>
                <w:szCs w:val="21"/>
                <w:lang w:val="zh-CN"/>
              </w:rPr>
            </w:pPr>
            <w:r>
              <w:rPr>
                <w:rFonts w:hint="eastAsia" w:ascii="宋体" w:hAnsi="宋体" w:cs="宋体"/>
                <w:sz w:val="21"/>
                <w:szCs w:val="21"/>
                <w:lang w:val="zh-CN"/>
              </w:rPr>
              <w:t>可对农村土地承包经营权登记过程中的资料进行信息化归档，对变更信息进行历史回溯查询和导出。</w:t>
            </w:r>
          </w:p>
          <w:p>
            <w:pPr>
              <w:pStyle w:val="2"/>
              <w:spacing w:line="360" w:lineRule="auto"/>
              <w:rPr>
                <w:rFonts w:hint="eastAsia" w:ascii="宋体" w:hAnsi="宋体" w:cs="宋体"/>
                <w:sz w:val="21"/>
                <w:szCs w:val="21"/>
                <w:lang w:val="zh-CN"/>
              </w:rPr>
            </w:pPr>
            <w:r>
              <w:rPr>
                <w:rFonts w:hint="eastAsia" w:ascii="宋体" w:hAnsi="宋体" w:cs="宋体"/>
                <w:sz w:val="21"/>
                <w:szCs w:val="21"/>
                <w:lang w:val="zh-CN"/>
              </w:rPr>
              <w:t>8、系统配置维护</w:t>
            </w:r>
          </w:p>
          <w:p>
            <w:pPr>
              <w:pStyle w:val="2"/>
              <w:spacing w:line="360" w:lineRule="auto"/>
              <w:rPr>
                <w:rFonts w:hint="eastAsia" w:ascii="宋体" w:hAnsi="宋体"/>
                <w:strike/>
                <w:color w:val="000000"/>
                <w:szCs w:val="21"/>
              </w:rPr>
            </w:pPr>
            <w:r>
              <w:rPr>
                <w:rFonts w:hint="eastAsia" w:ascii="宋体" w:hAnsi="宋体" w:cs="宋体"/>
                <w:sz w:val="21"/>
                <w:szCs w:val="21"/>
                <w:lang w:val="zh-CN"/>
              </w:rPr>
              <w:t>管理人员可完成系统日常配置维护工作，如数据字典、组织机构、角色权限、日志管理、备份恢复等。</w:t>
            </w:r>
          </w:p>
        </w:tc>
        <w:tc>
          <w:tcPr>
            <w:tcW w:w="11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FF0000"/>
                <w:szCs w:val="21"/>
              </w:rPr>
            </w:pPr>
            <w:r>
              <w:rPr>
                <w:rFonts w:hint="eastAsia" w:ascii="宋体" w:hAnsi="宋体"/>
                <w:color w:val="auto"/>
                <w:szCs w:val="21"/>
              </w:rPr>
              <w:t>1套</w:t>
            </w:r>
          </w:p>
        </w:tc>
        <w:tc>
          <w:tcPr>
            <w:tcW w:w="733"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color w:val="000000"/>
                <w:szCs w:val="21"/>
              </w:rPr>
            </w:pPr>
          </w:p>
        </w:tc>
      </w:tr>
      <w:tr>
        <w:tblPrEx>
          <w:tblLayout w:type="fixed"/>
          <w:tblCellMar>
            <w:top w:w="15" w:type="dxa"/>
            <w:left w:w="15" w:type="dxa"/>
            <w:bottom w:w="15" w:type="dxa"/>
            <w:right w:w="15" w:type="dxa"/>
          </w:tblCellMar>
        </w:tblPrEx>
        <w:trPr>
          <w:trHeight w:val="285" w:hRule="atLeast"/>
        </w:trPr>
        <w:tc>
          <w:tcPr>
            <w:tcW w:w="504"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color w:val="000000"/>
                <w:szCs w:val="21"/>
              </w:rPr>
            </w:pPr>
          </w:p>
        </w:tc>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b/>
                <w:color w:val="000000"/>
                <w:szCs w:val="21"/>
              </w:rPr>
            </w:pPr>
          </w:p>
        </w:tc>
        <w:tc>
          <w:tcPr>
            <w:tcW w:w="5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Cs w:val="21"/>
              </w:rPr>
            </w:pPr>
          </w:p>
        </w:tc>
        <w:tc>
          <w:tcPr>
            <w:tcW w:w="2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color w:val="000000"/>
                <w:kern w:val="0"/>
                <w:szCs w:val="21"/>
                <w:lang w:bidi="ar"/>
              </w:rPr>
              <w:t>市级电子政务系统</w:t>
            </w:r>
          </w:p>
        </w:tc>
        <w:tc>
          <w:tcPr>
            <w:tcW w:w="3928" w:type="dxa"/>
            <w:tcBorders>
              <w:top w:val="single" w:color="000000" w:sz="4" w:space="0"/>
              <w:left w:val="single" w:color="000000" w:sz="4" w:space="0"/>
              <w:bottom w:val="single" w:color="000000" w:sz="4" w:space="0"/>
              <w:right w:val="single" w:color="000000" w:sz="4" w:space="0"/>
            </w:tcBorders>
            <w:vAlign w:val="center"/>
          </w:tcPr>
          <w:p>
            <w:pPr>
              <w:pStyle w:val="2"/>
              <w:spacing w:line="360" w:lineRule="auto"/>
              <w:jc w:val="left"/>
              <w:rPr>
                <w:rFonts w:hint="eastAsia" w:ascii="宋体" w:hAnsi="宋体" w:cs="宋体"/>
                <w:szCs w:val="21"/>
                <w:lang w:val="zh-CN"/>
              </w:rPr>
            </w:pPr>
            <w:r>
              <w:rPr>
                <w:rFonts w:hint="eastAsia" w:ascii="宋体" w:hAnsi="宋体" w:cs="宋体"/>
                <w:szCs w:val="21"/>
                <w:lang w:val="zh-CN"/>
              </w:rPr>
              <w:t>1、基础数据管理子系统</w:t>
            </w:r>
          </w:p>
          <w:p>
            <w:pPr>
              <w:widowControl/>
              <w:jc w:val="left"/>
              <w:textAlignment w:val="center"/>
              <w:rPr>
                <w:rFonts w:hint="eastAsia" w:ascii="宋体" w:hAnsi="宋体" w:cs="宋体"/>
                <w:kern w:val="2"/>
                <w:sz w:val="21"/>
                <w:szCs w:val="21"/>
                <w:lang w:val="zh-CN"/>
              </w:rPr>
            </w:pPr>
            <w:r>
              <w:rPr>
                <w:rFonts w:hint="eastAsia" w:ascii="宋体" w:hAnsi="宋体" w:cs="宋体"/>
                <w:kern w:val="2"/>
                <w:sz w:val="21"/>
                <w:szCs w:val="21"/>
                <w:lang w:val="zh-CN"/>
              </w:rPr>
              <w:t>基础数据管理子系统主要针对农村土地承包经营权涉及的基础数据进行基本管理，包括对集体经济组织、农户基础信息、农用地信息等进行管理。</w:t>
            </w:r>
          </w:p>
          <w:p>
            <w:pPr>
              <w:pStyle w:val="2"/>
              <w:spacing w:line="360" w:lineRule="auto"/>
              <w:jc w:val="left"/>
              <w:rPr>
                <w:rFonts w:hint="eastAsia" w:ascii="宋体" w:hAnsi="宋体" w:cs="宋体"/>
                <w:sz w:val="21"/>
                <w:szCs w:val="21"/>
                <w:lang w:val="zh-CN"/>
              </w:rPr>
            </w:pPr>
            <w:r>
              <w:rPr>
                <w:rFonts w:hint="eastAsia" w:ascii="宋体" w:hAnsi="宋体" w:cs="宋体"/>
                <w:sz w:val="21"/>
                <w:szCs w:val="21"/>
                <w:lang w:val="en-US" w:eastAsia="zh-CN"/>
              </w:rPr>
              <w:t>2、</w:t>
            </w:r>
            <w:r>
              <w:rPr>
                <w:rFonts w:hint="eastAsia" w:ascii="宋体" w:hAnsi="宋体" w:cs="宋体"/>
                <w:sz w:val="21"/>
                <w:szCs w:val="21"/>
                <w:lang w:val="zh-CN"/>
              </w:rPr>
              <w:t>监管分析子系统</w:t>
            </w:r>
          </w:p>
          <w:p>
            <w:pPr>
              <w:pStyle w:val="2"/>
              <w:spacing w:line="360" w:lineRule="auto"/>
              <w:jc w:val="left"/>
              <w:rPr>
                <w:rFonts w:hint="eastAsia" w:ascii="宋体" w:hAnsi="宋体" w:cs="宋体"/>
                <w:kern w:val="2"/>
                <w:sz w:val="21"/>
                <w:szCs w:val="21"/>
                <w:lang w:val="zh-CN" w:eastAsia="zh-CN" w:bidi="ar-SA"/>
              </w:rPr>
            </w:pPr>
            <w:r>
              <w:rPr>
                <w:rFonts w:hint="eastAsia" w:ascii="宋体" w:hAnsi="宋体" w:cs="宋体"/>
                <w:kern w:val="2"/>
                <w:sz w:val="21"/>
                <w:szCs w:val="21"/>
                <w:lang w:val="zh-CN" w:eastAsia="zh-CN" w:bidi="ar-SA"/>
              </w:rPr>
              <w:t>监管分析子系统主要面向市级农经管理部门对土地承包经营权证办理、土地流转监管的需要，同时兼顾区县农经管理的需求，通过多种查询统计机制，实现确权颁证数据的统计汇总、业务监管等功能，包括对承包经营权登记数据、权证数据、流转数据、纠纷仲裁等进行查询、统计、汇总、业务进度监管，对土地使用、土地分布、土地结构、变化趋势、社会经济等方面进行综合的分析。</w:t>
            </w:r>
          </w:p>
          <w:p>
            <w:pPr>
              <w:pStyle w:val="2"/>
              <w:spacing w:line="360" w:lineRule="auto"/>
              <w:rPr>
                <w:rFonts w:hint="eastAsia" w:ascii="宋体" w:hAnsi="宋体" w:cs="宋体"/>
                <w:szCs w:val="21"/>
                <w:lang w:val="zh-CN"/>
              </w:rPr>
            </w:pPr>
            <w:r>
              <w:rPr>
                <w:rFonts w:hint="eastAsia" w:ascii="宋体" w:hAnsi="宋体" w:cs="宋体"/>
                <w:kern w:val="2"/>
                <w:sz w:val="21"/>
                <w:szCs w:val="21"/>
                <w:lang w:val="en-US" w:eastAsia="zh-CN" w:bidi="ar-SA"/>
              </w:rPr>
              <w:t>3、</w:t>
            </w:r>
            <w:r>
              <w:rPr>
                <w:rFonts w:hint="eastAsia" w:ascii="宋体" w:hAnsi="宋体" w:cs="宋体"/>
                <w:szCs w:val="21"/>
                <w:lang w:val="zh-CN"/>
              </w:rPr>
              <w:t>业务办理子系统</w:t>
            </w:r>
          </w:p>
          <w:p>
            <w:pPr>
              <w:pStyle w:val="2"/>
              <w:spacing w:line="360" w:lineRule="auto"/>
              <w:rPr>
                <w:rFonts w:hint="eastAsia" w:ascii="宋体" w:hAnsi="宋体" w:cs="宋体"/>
                <w:szCs w:val="21"/>
                <w:lang w:val="zh-CN"/>
              </w:rPr>
            </w:pPr>
            <w:r>
              <w:rPr>
                <w:rFonts w:hint="eastAsia" w:ascii="宋体" w:hAnsi="宋体" w:cs="宋体"/>
                <w:szCs w:val="21"/>
                <w:lang w:val="zh-CN"/>
              </w:rPr>
              <w:t>实现对于区县更新的不同业务类型的登记成果数据的查看、查询、对比以及对于区县登记业务数据的监督与指导。</w:t>
            </w:r>
          </w:p>
          <w:p>
            <w:pPr>
              <w:pStyle w:val="2"/>
              <w:spacing w:line="360" w:lineRule="auto"/>
              <w:rPr>
                <w:rFonts w:hint="eastAsia" w:ascii="宋体" w:hAnsi="宋体" w:cs="宋体"/>
                <w:szCs w:val="21"/>
                <w:lang w:val="zh-CN"/>
              </w:rPr>
            </w:pPr>
            <w:r>
              <w:rPr>
                <w:rFonts w:hint="eastAsia" w:ascii="宋体" w:hAnsi="宋体" w:cs="宋体"/>
                <w:szCs w:val="21"/>
                <w:lang w:val="zh-CN"/>
              </w:rPr>
              <w:t>4、业务定制子系统</w:t>
            </w:r>
          </w:p>
          <w:p>
            <w:pPr>
              <w:pStyle w:val="2"/>
              <w:spacing w:line="360" w:lineRule="auto"/>
              <w:jc w:val="left"/>
              <w:rPr>
                <w:rFonts w:hint="eastAsia" w:ascii="宋体" w:hAnsi="宋体" w:cs="宋体"/>
                <w:kern w:val="2"/>
                <w:sz w:val="21"/>
                <w:szCs w:val="21"/>
                <w:lang w:val="en-US" w:eastAsia="zh-CN" w:bidi="ar-SA"/>
              </w:rPr>
            </w:pPr>
            <w:r>
              <w:rPr>
                <w:rFonts w:hint="eastAsia" w:ascii="宋体" w:hAnsi="宋体" w:cs="宋体"/>
                <w:szCs w:val="21"/>
                <w:lang w:val="zh-CN"/>
              </w:rPr>
              <w:t>业务定制子系统除了提供管理业务数据的相关功能，还提供业务之外的其他功能和一些辅助功能，这些功能包括：基础配置、角色管理、表单配置、模板管理、流程定制等。</w:t>
            </w:r>
          </w:p>
        </w:tc>
        <w:tc>
          <w:tcPr>
            <w:tcW w:w="11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Cs w:val="21"/>
                <w:lang w:val="en-US" w:eastAsia="zh-CN"/>
              </w:rPr>
            </w:pPr>
            <w:r>
              <w:rPr>
                <w:rFonts w:hint="eastAsia" w:ascii="宋体" w:hAnsi="宋体"/>
                <w:color w:val="000000"/>
                <w:szCs w:val="21"/>
                <w:lang w:val="en-US" w:eastAsia="zh-CN"/>
              </w:rPr>
              <w:t>1套</w:t>
            </w:r>
          </w:p>
        </w:tc>
        <w:tc>
          <w:tcPr>
            <w:tcW w:w="733"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color w:val="000000"/>
                <w:szCs w:val="21"/>
              </w:rPr>
            </w:pPr>
          </w:p>
        </w:tc>
      </w:tr>
      <w:tr>
        <w:tblPrEx>
          <w:tblLayout w:type="fixed"/>
          <w:tblCellMar>
            <w:top w:w="15" w:type="dxa"/>
            <w:left w:w="15" w:type="dxa"/>
            <w:bottom w:w="15" w:type="dxa"/>
            <w:right w:w="15" w:type="dxa"/>
          </w:tblCellMar>
        </w:tblPrEx>
        <w:trPr>
          <w:trHeight w:val="285" w:hRule="atLeast"/>
        </w:trPr>
        <w:tc>
          <w:tcPr>
            <w:tcW w:w="504"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color w:val="000000"/>
                <w:szCs w:val="21"/>
              </w:rPr>
            </w:pPr>
          </w:p>
        </w:tc>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b/>
                <w:color w:val="000000"/>
                <w:szCs w:val="21"/>
              </w:rPr>
            </w:pPr>
          </w:p>
        </w:tc>
        <w:tc>
          <w:tcPr>
            <w:tcW w:w="5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Cs w:val="21"/>
              </w:rPr>
            </w:pPr>
          </w:p>
        </w:tc>
        <w:tc>
          <w:tcPr>
            <w:tcW w:w="2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color w:val="000000"/>
                <w:kern w:val="0"/>
                <w:szCs w:val="21"/>
                <w:lang w:bidi="ar"/>
              </w:rPr>
              <w:t>市级平台接入系统</w:t>
            </w:r>
          </w:p>
        </w:tc>
        <w:tc>
          <w:tcPr>
            <w:tcW w:w="3928" w:type="dxa"/>
            <w:tcBorders>
              <w:top w:val="single" w:color="000000" w:sz="4" w:space="0"/>
              <w:left w:val="single" w:color="000000" w:sz="4" w:space="0"/>
              <w:bottom w:val="single" w:color="000000" w:sz="4" w:space="0"/>
              <w:right w:val="single" w:color="000000" w:sz="4" w:space="0"/>
            </w:tcBorders>
            <w:vAlign w:val="center"/>
          </w:tcPr>
          <w:p>
            <w:pPr>
              <w:pStyle w:val="2"/>
              <w:spacing w:line="360" w:lineRule="auto"/>
              <w:rPr>
                <w:rFonts w:hint="eastAsia" w:ascii="宋体" w:hAnsi="宋体" w:cs="宋体"/>
                <w:szCs w:val="21"/>
                <w:lang w:val="zh-CN"/>
              </w:rPr>
            </w:pPr>
            <w:r>
              <w:rPr>
                <w:rFonts w:hint="eastAsia" w:ascii="宋体" w:hAnsi="宋体" w:cs="宋体"/>
                <w:szCs w:val="21"/>
                <w:lang w:val="zh-CN"/>
              </w:rPr>
              <w:t>1、数据接入子系统</w:t>
            </w:r>
          </w:p>
          <w:p>
            <w:pPr>
              <w:pStyle w:val="2"/>
              <w:spacing w:line="360" w:lineRule="auto"/>
              <w:rPr>
                <w:rFonts w:hint="eastAsia" w:ascii="宋体" w:hAnsi="宋体" w:cs="宋体"/>
                <w:szCs w:val="21"/>
                <w:lang w:val="zh-CN"/>
              </w:rPr>
            </w:pPr>
            <w:r>
              <w:rPr>
                <w:rFonts w:hint="eastAsia" w:ascii="宋体" w:hAnsi="宋体" w:cs="宋体"/>
                <w:szCs w:val="21"/>
                <w:lang w:val="zh-CN"/>
              </w:rPr>
              <w:t>数据接入子系统主要是对增量数据、土地确权空间数据和权属数据等数据及数据文件的接入并解析入库，对接入状态进行监控。数据接入子系统由数据接入服务、数据质检模块、数据入库模块和状态监测模块组成。</w:t>
            </w:r>
          </w:p>
          <w:p>
            <w:pPr>
              <w:pStyle w:val="2"/>
              <w:spacing w:line="360" w:lineRule="auto"/>
              <w:rPr>
                <w:rFonts w:hint="eastAsia" w:ascii="宋体" w:hAnsi="宋体" w:cs="宋体"/>
                <w:szCs w:val="21"/>
                <w:lang w:val="zh-CN"/>
              </w:rPr>
            </w:pPr>
            <w:r>
              <w:rPr>
                <w:rFonts w:hint="eastAsia" w:ascii="宋体" w:hAnsi="宋体" w:cs="宋体"/>
                <w:szCs w:val="21"/>
                <w:lang w:val="zh-CN"/>
              </w:rPr>
              <w:t>2、数据上报子系统</w:t>
            </w:r>
          </w:p>
          <w:p>
            <w:pPr>
              <w:pStyle w:val="2"/>
              <w:spacing w:line="360" w:lineRule="auto"/>
              <w:rPr>
                <w:rFonts w:hint="eastAsia" w:ascii="宋体" w:hAnsi="宋体" w:cs="宋体"/>
                <w:szCs w:val="21"/>
                <w:lang w:val="zh-CN"/>
              </w:rPr>
            </w:pPr>
            <w:r>
              <w:rPr>
                <w:rFonts w:hint="eastAsia" w:ascii="宋体" w:hAnsi="宋体" w:cs="宋体"/>
                <w:szCs w:val="21"/>
                <w:lang w:val="zh-CN"/>
              </w:rPr>
              <w:t>数据上报子系统管理主要是对本级系统的增量数据、土地确权空间数据和权属数据等数据依据标准规范进行组装，并提交到上级信息系统提供的服务接口，依据上级反馈进行数据处理。数据上报子系统由数据组装模块、数据上报模块、数据反馈解析模块组成。</w:t>
            </w:r>
          </w:p>
          <w:p>
            <w:pPr>
              <w:pStyle w:val="2"/>
              <w:spacing w:line="360" w:lineRule="auto"/>
              <w:rPr>
                <w:rFonts w:hint="eastAsia" w:ascii="宋体" w:hAnsi="宋体" w:cs="宋体"/>
                <w:szCs w:val="21"/>
                <w:lang w:val="zh-CN"/>
              </w:rPr>
            </w:pPr>
            <w:r>
              <w:rPr>
                <w:rFonts w:hint="eastAsia" w:ascii="宋体" w:hAnsi="宋体" w:cs="宋体"/>
                <w:szCs w:val="21"/>
                <w:lang w:val="zh-CN"/>
              </w:rPr>
              <w:t>3、接入管理子系统</w:t>
            </w:r>
          </w:p>
          <w:p>
            <w:pPr>
              <w:widowControl/>
              <w:jc w:val="both"/>
              <w:textAlignment w:val="center"/>
              <w:rPr>
                <w:rFonts w:hint="eastAsia" w:ascii="宋体" w:hAnsi="宋体"/>
                <w:strike/>
                <w:color w:val="000000"/>
                <w:szCs w:val="21"/>
              </w:rPr>
            </w:pPr>
            <w:r>
              <w:rPr>
                <w:rFonts w:hint="eastAsia" w:ascii="宋体" w:hAnsi="宋体" w:cs="宋体"/>
                <w:szCs w:val="21"/>
                <w:lang w:val="zh-CN"/>
              </w:rPr>
              <w:t>数据接入管理子系统主要负责对于平台接入系统的管理，主要包括用户管理、角色权限管理、接入端管理、日志管理等模块。</w:t>
            </w:r>
          </w:p>
        </w:tc>
        <w:tc>
          <w:tcPr>
            <w:tcW w:w="11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Cs w:val="21"/>
                <w:lang w:val="en-US" w:eastAsia="zh-CN"/>
              </w:rPr>
            </w:pPr>
            <w:r>
              <w:rPr>
                <w:rFonts w:hint="eastAsia" w:ascii="宋体" w:hAnsi="宋体"/>
                <w:color w:val="000000"/>
                <w:szCs w:val="21"/>
                <w:lang w:val="en-US" w:eastAsia="zh-CN"/>
              </w:rPr>
              <w:t>1套</w:t>
            </w:r>
          </w:p>
        </w:tc>
        <w:tc>
          <w:tcPr>
            <w:tcW w:w="733"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color w:val="000000"/>
                <w:szCs w:val="21"/>
              </w:rPr>
            </w:pPr>
          </w:p>
        </w:tc>
      </w:tr>
      <w:tr>
        <w:tblPrEx>
          <w:tblLayout w:type="fixed"/>
          <w:tblCellMar>
            <w:top w:w="15" w:type="dxa"/>
            <w:left w:w="15" w:type="dxa"/>
            <w:bottom w:w="15" w:type="dxa"/>
            <w:right w:w="15" w:type="dxa"/>
          </w:tblCellMar>
        </w:tblPrEx>
        <w:trPr>
          <w:trHeight w:val="285" w:hRule="atLeast"/>
        </w:trPr>
        <w:tc>
          <w:tcPr>
            <w:tcW w:w="504"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color w:val="000000"/>
                <w:szCs w:val="21"/>
              </w:rPr>
            </w:pPr>
          </w:p>
        </w:tc>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b/>
                <w:color w:val="000000"/>
                <w:szCs w:val="21"/>
              </w:rPr>
            </w:pPr>
          </w:p>
        </w:tc>
        <w:tc>
          <w:tcPr>
            <w:tcW w:w="5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Cs w:val="21"/>
              </w:rPr>
            </w:pPr>
          </w:p>
        </w:tc>
        <w:tc>
          <w:tcPr>
            <w:tcW w:w="2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color w:val="000000"/>
                <w:kern w:val="0"/>
                <w:szCs w:val="21"/>
                <w:lang w:bidi="ar"/>
              </w:rPr>
              <w:t>市级成果应用系统</w:t>
            </w:r>
          </w:p>
        </w:tc>
        <w:tc>
          <w:tcPr>
            <w:tcW w:w="3928" w:type="dxa"/>
            <w:tcBorders>
              <w:top w:val="single" w:color="000000" w:sz="4" w:space="0"/>
              <w:left w:val="single" w:color="000000" w:sz="4" w:space="0"/>
              <w:bottom w:val="single" w:color="000000" w:sz="4" w:space="0"/>
              <w:right w:val="single" w:color="000000" w:sz="4" w:space="0"/>
            </w:tcBorders>
            <w:vAlign w:val="center"/>
          </w:tcPr>
          <w:p>
            <w:pPr>
              <w:pStyle w:val="2"/>
              <w:spacing w:line="360" w:lineRule="auto"/>
              <w:rPr>
                <w:rFonts w:hint="eastAsia" w:ascii="宋体" w:hAnsi="宋体" w:cs="宋体"/>
                <w:szCs w:val="21"/>
              </w:rPr>
            </w:pPr>
            <w:r>
              <w:rPr>
                <w:rFonts w:hint="eastAsia" w:ascii="宋体" w:hAnsi="宋体" w:cs="宋体"/>
                <w:szCs w:val="21"/>
              </w:rPr>
              <w:t>1、农村集体“三资”管理</w:t>
            </w:r>
            <w:r>
              <w:rPr>
                <w:rFonts w:hint="eastAsia" w:ascii="宋体" w:cs="宋体"/>
                <w:szCs w:val="21"/>
              </w:rPr>
              <w:t>子</w:t>
            </w:r>
            <w:r>
              <w:rPr>
                <w:rFonts w:hint="eastAsia" w:ascii="宋体" w:hAnsi="宋体" w:cs="宋体"/>
                <w:szCs w:val="21"/>
              </w:rPr>
              <w:t>系统</w:t>
            </w:r>
          </w:p>
          <w:p>
            <w:pPr>
              <w:spacing w:line="360" w:lineRule="auto"/>
              <w:rPr>
                <w:rFonts w:hint="eastAsia"/>
                <w:szCs w:val="21"/>
              </w:rPr>
            </w:pPr>
            <w:r>
              <w:rPr>
                <w:rFonts w:hint="eastAsia"/>
                <w:szCs w:val="21"/>
              </w:rPr>
              <w:t>农村集体“三资”管理系统用于实现农村集体“三资”规范管理，具有资金管理、资产管理、资源管理、经济合同管理、财务公开、三资监控平台、工程项目管理、收据领用及备用金管理、重大事项管理、绩效考核管理和三资清理管理等功能。</w:t>
            </w:r>
          </w:p>
          <w:p>
            <w:pPr>
              <w:pStyle w:val="2"/>
              <w:spacing w:line="360" w:lineRule="auto"/>
              <w:rPr>
                <w:rFonts w:hint="eastAsia" w:ascii="宋体" w:hAnsi="宋体" w:cs="宋体"/>
                <w:szCs w:val="21"/>
              </w:rPr>
            </w:pPr>
            <w:r>
              <w:rPr>
                <w:rFonts w:hint="eastAsia" w:ascii="宋体" w:hAnsi="宋体" w:cs="宋体"/>
                <w:szCs w:val="21"/>
              </w:rPr>
              <w:t>2、农村产权交易</w:t>
            </w:r>
            <w:r>
              <w:rPr>
                <w:rFonts w:hint="eastAsia" w:ascii="宋体" w:cs="宋体"/>
                <w:szCs w:val="21"/>
              </w:rPr>
              <w:t>子</w:t>
            </w:r>
            <w:r>
              <w:rPr>
                <w:rFonts w:hint="eastAsia" w:ascii="宋体" w:hAnsi="宋体" w:cs="宋体"/>
                <w:szCs w:val="21"/>
              </w:rPr>
              <w:t>系统</w:t>
            </w:r>
          </w:p>
          <w:p>
            <w:pPr>
              <w:pStyle w:val="2"/>
              <w:spacing w:line="360" w:lineRule="auto"/>
              <w:rPr>
                <w:rFonts w:hint="eastAsia"/>
                <w:szCs w:val="21"/>
              </w:rPr>
            </w:pPr>
            <w:r>
              <w:rPr>
                <w:rFonts w:hint="eastAsia" w:ascii="宋体" w:hAnsi="宋体" w:cs="宋体"/>
                <w:szCs w:val="21"/>
              </w:rPr>
              <w:t>农村产权交易系统主要用于发布农村产权交易、政策咨询信息，组织农村产权交易，为政府指导农村经济发展提供参考依据。平台以为农民服务为宗旨，坚持公开透明、自主交易、公平竞争的原则，保障交易主体的合法权益。</w:t>
            </w:r>
            <w:r>
              <w:rPr>
                <w:rFonts w:hint="eastAsia" w:ascii="宋体" w:cs="宋体"/>
                <w:szCs w:val="21"/>
              </w:rPr>
              <w:t>系统</w:t>
            </w:r>
            <w:r>
              <w:rPr>
                <w:rFonts w:hint="eastAsia" w:ascii="宋体" w:hAnsi="宋体" w:cs="宋体"/>
                <w:szCs w:val="21"/>
              </w:rPr>
              <w:t xml:space="preserve">提供的功能主要包括信息发布、信息审核、信息公示、电子竞价、互动交流、合同管理、鉴证书管理、资料下载等。 </w:t>
            </w:r>
          </w:p>
          <w:p>
            <w:pPr>
              <w:pStyle w:val="2"/>
              <w:spacing w:line="360" w:lineRule="auto"/>
              <w:rPr>
                <w:rFonts w:hint="eastAsia" w:ascii="宋体" w:hAnsi="宋体" w:cs="宋体"/>
                <w:szCs w:val="21"/>
              </w:rPr>
            </w:pPr>
            <w:r>
              <w:rPr>
                <w:rFonts w:hint="eastAsia" w:ascii="宋体" w:hAnsi="宋体" w:cs="宋体"/>
                <w:szCs w:val="21"/>
              </w:rPr>
              <w:t>3、新型农业经营主体管理子系统</w:t>
            </w:r>
          </w:p>
          <w:p>
            <w:pPr>
              <w:pStyle w:val="2"/>
              <w:spacing w:line="360" w:lineRule="auto"/>
              <w:rPr>
                <w:rFonts w:hint="eastAsia" w:ascii="宋体" w:hAnsi="宋体" w:cs="宋体"/>
                <w:szCs w:val="21"/>
              </w:rPr>
            </w:pPr>
            <w:r>
              <w:rPr>
                <w:rFonts w:hint="eastAsia" w:ascii="宋体" w:hAnsi="宋体" w:cs="宋体"/>
                <w:szCs w:val="21"/>
              </w:rPr>
              <w:t>家庭农场管理系统主要用于农经管理部门对本市家庭农场的规范化管理和服务，为家庭农场的稳定健康发展提供基础。系统提供的功能主要包括信息登记、信息审核、汇总分析、信息查询等。</w:t>
            </w:r>
          </w:p>
          <w:p>
            <w:pPr>
              <w:pStyle w:val="2"/>
              <w:numPr>
                <w:ilvl w:val="0"/>
                <w:numId w:val="0"/>
              </w:numPr>
              <w:spacing w:line="360" w:lineRule="auto"/>
              <w:rPr>
                <w:rFonts w:hint="eastAsia"/>
                <w:szCs w:val="21"/>
              </w:rPr>
            </w:pPr>
            <w:r>
              <w:rPr>
                <w:rFonts w:hint="eastAsia"/>
                <w:szCs w:val="21"/>
                <w:lang w:val="en-US" w:eastAsia="zh-CN"/>
              </w:rPr>
              <w:t>4、</w:t>
            </w:r>
            <w:r>
              <w:rPr>
                <w:rFonts w:hint="eastAsia"/>
                <w:szCs w:val="21"/>
              </w:rPr>
              <w:t>农业土地承包纠纷仲裁管理子系统</w:t>
            </w:r>
          </w:p>
          <w:p>
            <w:pPr>
              <w:widowControl/>
              <w:jc w:val="both"/>
              <w:textAlignment w:val="center"/>
              <w:rPr>
                <w:rFonts w:hint="eastAsia" w:ascii="宋体" w:hAnsi="宋体"/>
                <w:strike/>
                <w:color w:val="000000"/>
                <w:szCs w:val="21"/>
              </w:rPr>
            </w:pPr>
            <w:r>
              <w:rPr>
                <w:rFonts w:hint="eastAsia"/>
                <w:szCs w:val="21"/>
              </w:rPr>
              <w:t>对各县（市、区）农村土地承包经营过程中所产生的纠纷进行登记案件进行情况进行查询、登记、统计、结果监督等进行管理，对主要环节的受理通知书、仲裁答辩书、仲裁裁决书等材料可按案件进行查询。对于历史仲裁案件信息可查询详情、处理状态，并可查看、导出和打印生成的各种材料。</w:t>
            </w:r>
          </w:p>
        </w:tc>
        <w:tc>
          <w:tcPr>
            <w:tcW w:w="11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Cs w:val="21"/>
                <w:lang w:val="en-US" w:eastAsia="zh-CN"/>
              </w:rPr>
            </w:pPr>
            <w:r>
              <w:rPr>
                <w:rFonts w:hint="eastAsia" w:ascii="宋体" w:hAnsi="宋体"/>
                <w:color w:val="000000"/>
                <w:szCs w:val="21"/>
                <w:lang w:val="en-US" w:eastAsia="zh-CN"/>
              </w:rPr>
              <w:t>1套</w:t>
            </w:r>
          </w:p>
        </w:tc>
        <w:tc>
          <w:tcPr>
            <w:tcW w:w="733"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color w:val="000000"/>
                <w:szCs w:val="21"/>
              </w:rPr>
            </w:pPr>
          </w:p>
        </w:tc>
      </w:tr>
      <w:tr>
        <w:tblPrEx>
          <w:tblLayout w:type="fixed"/>
          <w:tblCellMar>
            <w:top w:w="15" w:type="dxa"/>
            <w:left w:w="15" w:type="dxa"/>
            <w:bottom w:w="15" w:type="dxa"/>
            <w:right w:w="15" w:type="dxa"/>
          </w:tblCellMar>
        </w:tblPrEx>
        <w:trPr>
          <w:trHeight w:val="285" w:hRule="atLeast"/>
        </w:trPr>
        <w:tc>
          <w:tcPr>
            <w:tcW w:w="504"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color w:val="000000"/>
                <w:szCs w:val="21"/>
              </w:rPr>
            </w:pPr>
          </w:p>
        </w:tc>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b/>
                <w:color w:val="000000"/>
                <w:szCs w:val="21"/>
              </w:rPr>
            </w:pPr>
          </w:p>
        </w:tc>
        <w:tc>
          <w:tcPr>
            <w:tcW w:w="5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Cs w:val="21"/>
              </w:rPr>
            </w:pPr>
          </w:p>
        </w:tc>
        <w:tc>
          <w:tcPr>
            <w:tcW w:w="2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color w:val="000000"/>
                <w:kern w:val="0"/>
                <w:szCs w:val="21"/>
                <w:lang w:val="en-US" w:eastAsia="zh-CN" w:bidi="ar"/>
              </w:rPr>
              <w:t>GIS软件</w:t>
            </w:r>
          </w:p>
        </w:tc>
        <w:tc>
          <w:tcPr>
            <w:tcW w:w="392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left"/>
              <w:rPr>
                <w:rFonts w:hint="eastAsia" w:ascii="宋体" w:hAnsi="宋体" w:cs="宋体"/>
                <w:kern w:val="0"/>
              </w:rPr>
            </w:pPr>
            <w:r>
              <w:rPr>
                <w:rFonts w:hint="eastAsia" w:ascii="宋体" w:hAnsi="宋体" w:cs="宋体"/>
                <w:kern w:val="0"/>
              </w:rPr>
              <w:t xml:space="preserve">1、支持64位Windows </w:t>
            </w:r>
            <w:r>
              <w:rPr>
                <w:rFonts w:hint="eastAsia" w:ascii="宋体" w:hAnsi="宋体" w:cs="宋体"/>
                <w:kern w:val="0"/>
                <w:lang w:val="en-US" w:eastAsia="zh-CN"/>
              </w:rPr>
              <w:t>8/</w:t>
            </w:r>
            <w:r>
              <w:rPr>
                <w:rFonts w:hint="eastAsia" w:ascii="宋体" w:hAnsi="宋体" w:cs="宋体"/>
                <w:kern w:val="0"/>
              </w:rPr>
              <w:t>7/2012/2008/vista/2003/XP、Red Hat Enterprise Linux5/6、SUSE Enterprise Linux11等操作系统；具有内置web服务器，支持与多种其他Web/应用服务器集成，包括IIS、Glassfish、Tomcat、Websphere、WebLogic、Oracle Application Server 11g Release 。</w:t>
            </w:r>
          </w:p>
          <w:p>
            <w:pPr>
              <w:widowControl/>
              <w:spacing w:line="0" w:lineRule="atLeast"/>
              <w:jc w:val="left"/>
              <w:rPr>
                <w:rFonts w:hint="eastAsia" w:ascii="宋体" w:hAnsi="宋体" w:cs="宋体"/>
                <w:kern w:val="0"/>
              </w:rPr>
            </w:pPr>
            <w:r>
              <w:rPr>
                <w:rFonts w:hint="eastAsia" w:ascii="宋体" w:hAnsi="宋体" w:cs="宋体"/>
                <w:kern w:val="0"/>
              </w:rPr>
              <w:t>2、支持OGC规范的WMS、WFS、WFS-T、WCS、WPS、WMTS和KML服务发布。</w:t>
            </w:r>
          </w:p>
          <w:p>
            <w:pPr>
              <w:widowControl/>
              <w:spacing w:line="0" w:lineRule="atLeast"/>
              <w:jc w:val="left"/>
              <w:rPr>
                <w:rFonts w:hint="eastAsia" w:ascii="宋体" w:hAnsi="宋体" w:cs="宋体"/>
                <w:kern w:val="0"/>
              </w:rPr>
            </w:pPr>
            <w:r>
              <w:rPr>
                <w:rFonts w:hint="eastAsia" w:ascii="宋体" w:hAnsi="宋体" w:cs="宋体"/>
                <w:kern w:val="0"/>
              </w:rPr>
              <w:t>3、支持可伸缩的热插拔式GIS服务器集群，GIS服务器可随时加入或退出集群而不影响集群正常工作。</w:t>
            </w:r>
          </w:p>
          <w:p>
            <w:pPr>
              <w:widowControl/>
              <w:spacing w:line="0" w:lineRule="atLeast"/>
              <w:jc w:val="left"/>
              <w:rPr>
                <w:rFonts w:hint="eastAsia" w:ascii="宋体" w:hAnsi="宋体" w:cs="宋体"/>
                <w:kern w:val="0"/>
              </w:rPr>
            </w:pPr>
            <w:r>
              <w:rPr>
                <w:rFonts w:hint="eastAsia" w:ascii="宋体" w:hAnsi="宋体" w:cs="宋体"/>
                <w:kern w:val="0"/>
              </w:rPr>
              <w:t>4、支持地图服务，影像服务，要素服务，搜索服务，几何服务，地理处理服务，远程空间数据库访问服务，网络分析服务，地理定位服务。</w:t>
            </w:r>
          </w:p>
          <w:p>
            <w:pPr>
              <w:widowControl/>
              <w:spacing w:line="0" w:lineRule="atLeast"/>
              <w:jc w:val="left"/>
              <w:rPr>
                <w:rFonts w:hint="eastAsia" w:ascii="宋体" w:hAnsi="宋体"/>
              </w:rPr>
            </w:pPr>
            <w:r>
              <w:rPr>
                <w:rFonts w:hint="eastAsia" w:ascii="宋体" w:hAnsi="宋体"/>
              </w:rPr>
              <w:t>5、支持至少五种数据库(Oracle、DB2、SQL Server、PostgreSQL、Informix等)。</w:t>
            </w:r>
          </w:p>
          <w:p>
            <w:pPr>
              <w:widowControl/>
              <w:spacing w:line="0" w:lineRule="atLeast"/>
              <w:jc w:val="left"/>
              <w:rPr>
                <w:rFonts w:hint="eastAsia" w:ascii="宋体" w:hAnsi="宋体"/>
              </w:rPr>
            </w:pPr>
            <w:r>
              <w:rPr>
                <w:rFonts w:hint="eastAsia" w:ascii="宋体" w:hAnsi="宋体"/>
              </w:rPr>
              <w:t>6、支持多种Web服务和应用的安全机制，支持基于用户和角色的安全授权，支持基于令牌的身份认证，支持SSL（Security Socket Layer）加密机制，支持反向代理服务器部署策略，增强安全性。</w:t>
            </w:r>
          </w:p>
          <w:p>
            <w:pPr>
              <w:widowControl/>
              <w:jc w:val="both"/>
              <w:textAlignment w:val="center"/>
              <w:rPr>
                <w:rFonts w:hint="eastAsia" w:ascii="宋体" w:hAnsi="宋体"/>
                <w:color w:val="FF0000"/>
                <w:szCs w:val="21"/>
              </w:rPr>
            </w:pPr>
            <w:r>
              <w:rPr>
                <w:rFonts w:hint="eastAsia" w:ascii="宋体" w:hAnsi="宋体"/>
              </w:rPr>
              <w:t>7、支持镶嵌数据集（mosic dataset），支持发布专业的影像处理分析功能（信息提取、Sarscape、动态变化监测），支持Web端和移动端访问。</w:t>
            </w:r>
          </w:p>
        </w:tc>
        <w:tc>
          <w:tcPr>
            <w:tcW w:w="11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p>
        </w:tc>
        <w:tc>
          <w:tcPr>
            <w:tcW w:w="733"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color w:val="000000"/>
                <w:szCs w:val="21"/>
              </w:rPr>
            </w:pPr>
          </w:p>
        </w:tc>
      </w:tr>
      <w:tr>
        <w:tblPrEx>
          <w:tblLayout w:type="fixed"/>
          <w:tblCellMar>
            <w:top w:w="15" w:type="dxa"/>
            <w:left w:w="15" w:type="dxa"/>
            <w:bottom w:w="15" w:type="dxa"/>
            <w:right w:w="15" w:type="dxa"/>
          </w:tblCellMar>
        </w:tblPrEx>
        <w:trPr>
          <w:trHeight w:val="285" w:hRule="atLeast"/>
        </w:trPr>
        <w:tc>
          <w:tcPr>
            <w:tcW w:w="504"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color w:val="000000"/>
                <w:szCs w:val="21"/>
              </w:rPr>
            </w:pPr>
          </w:p>
        </w:tc>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b/>
                <w:color w:val="000000"/>
                <w:szCs w:val="21"/>
              </w:rPr>
            </w:pPr>
          </w:p>
        </w:tc>
        <w:tc>
          <w:tcPr>
            <w:tcW w:w="5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Cs w:val="21"/>
              </w:rPr>
            </w:pPr>
          </w:p>
        </w:tc>
        <w:tc>
          <w:tcPr>
            <w:tcW w:w="2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color w:val="000000"/>
                <w:kern w:val="0"/>
                <w:szCs w:val="21"/>
                <w:lang w:bidi="ar"/>
              </w:rPr>
              <w:t>数据库软件</w:t>
            </w:r>
          </w:p>
        </w:tc>
        <w:tc>
          <w:tcPr>
            <w:tcW w:w="392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left"/>
              <w:rPr>
                <w:rFonts w:hint="eastAsia" w:ascii="宋体" w:hAnsi="宋体" w:cs="宋体"/>
                <w:kern w:val="0"/>
                <w:lang w:val="en-US" w:eastAsia="zh-CN"/>
              </w:rPr>
            </w:pPr>
            <w:r>
              <w:rPr>
                <w:rFonts w:hint="eastAsia" w:ascii="宋体" w:hAnsi="宋体" w:cs="宋体"/>
                <w:kern w:val="0"/>
                <w:lang w:val="en-US" w:eastAsia="zh-CN"/>
              </w:rPr>
              <w:t>1、简单的数据加密</w:t>
            </w:r>
          </w:p>
          <w:p>
            <w:pPr>
              <w:widowControl/>
              <w:spacing w:line="0" w:lineRule="atLeast"/>
              <w:jc w:val="left"/>
              <w:rPr>
                <w:rFonts w:hint="eastAsia" w:ascii="宋体" w:hAnsi="宋体" w:cs="宋体"/>
                <w:kern w:val="0"/>
              </w:rPr>
            </w:pPr>
            <w:r>
              <w:rPr>
                <w:rFonts w:hint="eastAsia" w:ascii="宋体" w:hAnsi="宋体" w:cs="宋体"/>
                <w:kern w:val="0"/>
                <w:lang w:val="en-US" w:eastAsia="zh-CN"/>
              </w:rPr>
              <w:t>对整个数据库、数据文件和日志文件进行加密，而不需要改动</w:t>
            </w:r>
            <w:r>
              <w:rPr>
                <w:rFonts w:hint="default" w:ascii="宋体" w:hAnsi="宋体" w:cs="宋体"/>
                <w:kern w:val="0"/>
                <w:lang w:val="en-US" w:eastAsia="zh-CN"/>
              </w:rPr>
              <w:fldChar w:fldCharType="begin"/>
            </w:r>
            <w:r>
              <w:rPr>
                <w:rFonts w:hint="default" w:ascii="宋体" w:hAnsi="宋体" w:cs="宋体"/>
                <w:kern w:val="0"/>
                <w:lang w:val="en-US" w:eastAsia="zh-CN"/>
              </w:rPr>
              <w:instrText xml:space="preserve"> HYPERLINK "https://baike.baidu.com/item/%E5%BA%94%E7%94%A8%E7%A8%8B%E5%BA%8F" \t "https://baike.baidu.com/item/Microsoft%20SQL%20Server/_blank" </w:instrText>
            </w:r>
            <w:r>
              <w:rPr>
                <w:rFonts w:hint="default" w:ascii="宋体" w:hAnsi="宋体" w:cs="宋体"/>
                <w:kern w:val="0"/>
                <w:lang w:val="en-US" w:eastAsia="zh-CN"/>
              </w:rPr>
              <w:fldChar w:fldCharType="separate"/>
            </w:r>
            <w:r>
              <w:rPr>
                <w:rFonts w:hint="default" w:ascii="宋体" w:hAnsi="宋体" w:cs="宋体"/>
                <w:kern w:val="0"/>
              </w:rPr>
              <w:t>应用程序</w:t>
            </w:r>
            <w:r>
              <w:rPr>
                <w:rFonts w:hint="default" w:ascii="宋体" w:hAnsi="宋体" w:cs="宋体"/>
                <w:kern w:val="0"/>
                <w:lang w:val="en-US" w:eastAsia="zh-CN"/>
              </w:rPr>
              <w:fldChar w:fldCharType="end"/>
            </w:r>
            <w:r>
              <w:rPr>
                <w:rFonts w:hint="default" w:ascii="宋体" w:hAnsi="宋体" w:cs="宋体"/>
                <w:kern w:val="0"/>
                <w:lang w:val="en-US" w:eastAsia="zh-CN"/>
              </w:rPr>
              <w:t>。进行加密可以满足遵守规范及其关注数据隐私的要求。</w:t>
            </w:r>
          </w:p>
          <w:p>
            <w:pPr>
              <w:widowControl/>
              <w:spacing w:line="0" w:lineRule="atLeast"/>
              <w:jc w:val="left"/>
              <w:rPr>
                <w:rFonts w:hint="eastAsia" w:ascii="宋体" w:hAnsi="宋体" w:cs="宋体"/>
                <w:kern w:val="0"/>
                <w:lang w:val="en-US" w:eastAsia="zh-CN"/>
              </w:rPr>
            </w:pPr>
            <w:r>
              <w:rPr>
                <w:rFonts w:hint="eastAsia" w:ascii="宋体" w:hAnsi="宋体" w:cs="宋体"/>
                <w:kern w:val="0"/>
                <w:lang w:val="en-US" w:eastAsia="zh-CN"/>
              </w:rPr>
              <w:t>2、</w:t>
            </w:r>
            <w:r>
              <w:rPr>
                <w:rFonts w:hint="eastAsia" w:ascii="宋体" w:hAnsi="宋体" w:cs="宋体"/>
                <w:kern w:val="0"/>
              </w:rPr>
              <w:fldChar w:fldCharType="begin"/>
            </w:r>
            <w:r>
              <w:rPr>
                <w:rFonts w:hint="eastAsia" w:ascii="宋体" w:hAnsi="宋体" w:cs="宋体"/>
                <w:kern w:val="0"/>
              </w:rPr>
              <w:instrText xml:space="preserve"> HYPERLINK "https://baike.baidu.com/item/%E5%A4%96%E9%94%AE" \t "https://baike.baidu.com/item/Microsoft%20SQL%20Server/_blank" </w:instrText>
            </w:r>
            <w:r>
              <w:rPr>
                <w:rFonts w:hint="eastAsia" w:ascii="宋体" w:hAnsi="宋体" w:cs="宋体"/>
                <w:kern w:val="0"/>
              </w:rPr>
              <w:fldChar w:fldCharType="separate"/>
            </w:r>
            <w:r>
              <w:rPr>
                <w:rFonts w:hint="default" w:ascii="宋体" w:hAnsi="宋体" w:cs="宋体"/>
                <w:kern w:val="0"/>
              </w:rPr>
              <w:t>外键</w:t>
            </w:r>
            <w:r>
              <w:rPr>
                <w:rFonts w:hint="default" w:ascii="宋体" w:hAnsi="宋体" w:cs="宋体"/>
                <w:kern w:val="0"/>
              </w:rPr>
              <w:fldChar w:fldCharType="end"/>
            </w:r>
            <w:r>
              <w:rPr>
                <w:rFonts w:hint="default" w:ascii="宋体" w:hAnsi="宋体" w:cs="宋体"/>
                <w:kern w:val="0"/>
              </w:rPr>
              <w:t>管理</w:t>
            </w:r>
          </w:p>
          <w:p>
            <w:pPr>
              <w:widowControl/>
              <w:spacing w:line="0" w:lineRule="atLeast"/>
              <w:jc w:val="left"/>
              <w:rPr>
                <w:rFonts w:hint="eastAsia" w:ascii="宋体" w:hAnsi="宋体" w:cs="宋体"/>
                <w:kern w:val="0"/>
              </w:rPr>
            </w:pPr>
            <w:r>
              <w:rPr>
                <w:rFonts w:hint="eastAsia" w:ascii="宋体" w:hAnsi="宋体" w:cs="宋体"/>
                <w:kern w:val="0"/>
              </w:rPr>
              <w:t>通过支持第三方密钥管理和硬件安全模块（HSM）产品为这个需求提供了很好的支持。</w:t>
            </w:r>
          </w:p>
          <w:p>
            <w:pPr>
              <w:widowControl/>
              <w:spacing w:line="0" w:lineRule="atLeast"/>
              <w:jc w:val="left"/>
              <w:rPr>
                <w:rFonts w:hint="eastAsia" w:ascii="宋体" w:hAnsi="宋体" w:cs="宋体"/>
                <w:kern w:val="0"/>
              </w:rPr>
            </w:pPr>
            <w:r>
              <w:rPr>
                <w:rFonts w:hint="eastAsia" w:ascii="宋体" w:hAnsi="宋体" w:cs="宋体"/>
                <w:kern w:val="0"/>
                <w:lang w:val="en-US" w:eastAsia="zh-CN"/>
              </w:rPr>
              <w:t>3、</w:t>
            </w:r>
            <w:r>
              <w:rPr>
                <w:rFonts w:hint="eastAsia" w:ascii="宋体" w:hAnsi="宋体" w:cs="宋体"/>
                <w:kern w:val="0"/>
              </w:rPr>
              <w:t>增强审查</w:t>
            </w:r>
          </w:p>
          <w:p>
            <w:pPr>
              <w:widowControl/>
              <w:spacing w:line="0" w:lineRule="atLeast"/>
              <w:jc w:val="left"/>
              <w:rPr>
                <w:rFonts w:hint="eastAsia" w:ascii="宋体" w:hAnsi="宋体" w:cs="宋体"/>
                <w:kern w:val="0"/>
              </w:rPr>
            </w:pPr>
            <w:r>
              <w:rPr>
                <w:rFonts w:hint="eastAsia" w:ascii="宋体" w:hAnsi="宋体" w:cs="宋体"/>
                <w:kern w:val="0"/>
              </w:rPr>
              <w:t>具有像服务器中加强的审查的配置和管理这样的功能，这使得</w:t>
            </w:r>
            <w:r>
              <w:rPr>
                <w:rFonts w:hint="eastAsia" w:ascii="宋体" w:hAnsi="宋体" w:cs="宋体"/>
                <w:kern w:val="0"/>
                <w:lang w:val="en-US" w:eastAsia="zh-CN"/>
              </w:rPr>
              <w:t>管理单位</w:t>
            </w:r>
            <w:r>
              <w:rPr>
                <w:rFonts w:hint="eastAsia" w:ascii="宋体" w:hAnsi="宋体" w:cs="宋体"/>
                <w:kern w:val="0"/>
              </w:rPr>
              <w:t>可以满足各种规范需求。</w:t>
            </w:r>
            <w:r>
              <w:rPr>
                <w:rFonts w:hint="eastAsia" w:ascii="宋体" w:hAnsi="宋体" w:cs="宋体"/>
                <w:kern w:val="0"/>
                <w:lang w:val="en-US" w:eastAsia="zh-CN"/>
              </w:rPr>
              <w:t>还</w:t>
            </w:r>
            <w:r>
              <w:rPr>
                <w:rFonts w:hint="eastAsia" w:ascii="宋体" w:hAnsi="宋体" w:cs="宋体"/>
                <w:kern w:val="0"/>
              </w:rPr>
              <w:t>可以定义每一个数据库的审查规范，所以审查配置可以为每一个数据库作单独的制定。为指定对象作审查配置使审查的执行性能更好，配置的灵活性也更高。</w:t>
            </w:r>
          </w:p>
          <w:p>
            <w:pPr>
              <w:widowControl/>
              <w:spacing w:line="0" w:lineRule="atLeast"/>
              <w:jc w:val="left"/>
              <w:rPr>
                <w:rFonts w:hint="default" w:ascii="宋体" w:hAnsi="宋体" w:cs="宋体"/>
                <w:kern w:val="0"/>
              </w:rPr>
            </w:pPr>
            <w:r>
              <w:rPr>
                <w:rFonts w:hint="eastAsia" w:ascii="宋体" w:hAnsi="宋体" w:cs="宋体"/>
                <w:kern w:val="0"/>
                <w:lang w:val="en-US" w:eastAsia="zh-CN"/>
              </w:rPr>
              <w:t>4、</w:t>
            </w:r>
            <w:r>
              <w:rPr>
                <w:rFonts w:hint="default" w:ascii="宋体" w:hAnsi="宋体" w:cs="宋体"/>
                <w:kern w:val="0"/>
              </w:rPr>
              <w:t>数据库</w:t>
            </w:r>
            <w:r>
              <w:rPr>
                <w:rFonts w:hint="default" w:ascii="宋体" w:hAnsi="宋体" w:cs="宋体"/>
                <w:kern w:val="0"/>
              </w:rPr>
              <w:fldChar w:fldCharType="begin"/>
            </w:r>
            <w:r>
              <w:rPr>
                <w:rFonts w:hint="default" w:ascii="宋体" w:hAnsi="宋体" w:cs="宋体"/>
                <w:kern w:val="0"/>
              </w:rPr>
              <w:instrText xml:space="preserve"> HYPERLINK "https://baike.baidu.com/item/%E9%95%9C%E5%83%8F" \t "https://baike.baidu.com/item/Microsoft%20SQL%20Server/_blank" </w:instrText>
            </w:r>
            <w:r>
              <w:rPr>
                <w:rFonts w:hint="default" w:ascii="宋体" w:hAnsi="宋体" w:cs="宋体"/>
                <w:kern w:val="0"/>
              </w:rPr>
              <w:fldChar w:fldCharType="separate"/>
            </w:r>
            <w:r>
              <w:rPr>
                <w:rFonts w:hint="default" w:ascii="宋体" w:hAnsi="宋体" w:cs="宋体"/>
                <w:kern w:val="0"/>
              </w:rPr>
              <w:t>镜像</w:t>
            </w:r>
            <w:r>
              <w:rPr>
                <w:rFonts w:hint="default" w:ascii="宋体" w:hAnsi="宋体" w:cs="宋体"/>
                <w:kern w:val="0"/>
              </w:rPr>
              <w:fldChar w:fldCharType="end"/>
            </w:r>
          </w:p>
          <w:p>
            <w:pPr>
              <w:widowControl/>
              <w:spacing w:line="0" w:lineRule="atLeast"/>
              <w:jc w:val="left"/>
              <w:rPr>
                <w:rFonts w:hint="eastAsia" w:ascii="宋体" w:hAnsi="宋体" w:cs="宋体"/>
                <w:kern w:val="0"/>
                <w:lang w:val="en-US" w:eastAsia="zh-CN"/>
              </w:rPr>
            </w:pPr>
            <w:r>
              <w:rPr>
                <w:rFonts w:hint="eastAsia" w:ascii="宋体" w:hAnsi="宋体" w:cs="宋体"/>
                <w:kern w:val="0"/>
              </w:rPr>
              <w:t>提供了更可靠的加强了数据库</w:t>
            </w:r>
            <w:r>
              <w:rPr>
                <w:rFonts w:hint="default" w:ascii="宋体" w:hAnsi="宋体" w:cs="宋体"/>
                <w:kern w:val="0"/>
              </w:rPr>
              <w:fldChar w:fldCharType="begin"/>
            </w:r>
            <w:r>
              <w:rPr>
                <w:rFonts w:hint="default" w:ascii="宋体" w:hAnsi="宋体" w:cs="宋体"/>
                <w:kern w:val="0"/>
              </w:rPr>
              <w:instrText xml:space="preserve"> HYPERLINK "https://baike.baidu.com/item/%E9%95%9C%E5%83%8F" \t "https://baike.baidu.com/item/Microsoft%20SQL%20Server/_blank" </w:instrText>
            </w:r>
            <w:r>
              <w:rPr>
                <w:rFonts w:hint="default" w:ascii="宋体" w:hAnsi="宋体" w:cs="宋体"/>
                <w:kern w:val="0"/>
              </w:rPr>
              <w:fldChar w:fldCharType="separate"/>
            </w:r>
            <w:r>
              <w:rPr>
                <w:rFonts w:hint="default" w:ascii="宋体" w:hAnsi="宋体" w:cs="宋体"/>
                <w:kern w:val="0"/>
              </w:rPr>
              <w:t>镜像</w:t>
            </w:r>
            <w:r>
              <w:rPr>
                <w:rFonts w:hint="default" w:ascii="宋体" w:hAnsi="宋体" w:cs="宋体"/>
                <w:kern w:val="0"/>
              </w:rPr>
              <w:fldChar w:fldCharType="end"/>
            </w:r>
            <w:r>
              <w:rPr>
                <w:rFonts w:hint="default" w:ascii="宋体" w:hAnsi="宋体" w:cs="宋体"/>
                <w:kern w:val="0"/>
              </w:rPr>
              <w:t>的平台</w:t>
            </w:r>
            <w:r>
              <w:rPr>
                <w:rFonts w:hint="eastAsia" w:ascii="宋体" w:hAnsi="宋体" w:cs="宋体"/>
                <w:kern w:val="0"/>
                <w:lang w:eastAsia="zh-CN"/>
              </w:rPr>
              <w:t>，</w:t>
            </w:r>
            <w:r>
              <w:rPr>
                <w:rFonts w:hint="eastAsia" w:ascii="宋体" w:hAnsi="宋体" w:cs="宋体"/>
                <w:kern w:val="0"/>
                <w:lang w:val="en-US" w:eastAsia="zh-CN"/>
              </w:rPr>
              <w:t>包括</w:t>
            </w:r>
            <w:r>
              <w:rPr>
                <w:rFonts w:hint="eastAsia" w:ascii="宋体" w:hAnsi="宋体" w:cs="宋体"/>
                <w:kern w:val="0"/>
              </w:rPr>
              <w:t>页面自动修复</w:t>
            </w:r>
            <w:r>
              <w:rPr>
                <w:rFonts w:hint="eastAsia" w:ascii="宋体" w:hAnsi="宋体" w:cs="宋体"/>
                <w:kern w:val="0"/>
                <w:lang w:eastAsia="zh-CN"/>
              </w:rPr>
              <w:t>，</w:t>
            </w:r>
            <w:r>
              <w:rPr>
                <w:rFonts w:hint="eastAsia" w:ascii="宋体" w:hAnsi="宋体" w:cs="宋体"/>
                <w:kern w:val="0"/>
                <w:lang w:val="en-US" w:eastAsia="zh-CN"/>
              </w:rPr>
              <w:t>提高镜像性能。</w:t>
            </w:r>
          </w:p>
          <w:p>
            <w:pPr>
              <w:widowControl/>
              <w:spacing w:line="0" w:lineRule="atLeast"/>
              <w:jc w:val="left"/>
              <w:rPr>
                <w:rFonts w:hint="default" w:ascii="宋体" w:hAnsi="宋体" w:cs="宋体"/>
                <w:kern w:val="0"/>
              </w:rPr>
            </w:pPr>
            <w:r>
              <w:rPr>
                <w:rFonts w:hint="eastAsia" w:ascii="宋体" w:hAnsi="宋体" w:cs="宋体"/>
                <w:kern w:val="0"/>
                <w:lang w:val="en-US" w:eastAsia="zh-CN"/>
              </w:rPr>
              <w:t>5、</w:t>
            </w:r>
            <w:r>
              <w:rPr>
                <w:rFonts w:hint="eastAsia" w:ascii="宋体" w:hAnsi="宋体" w:cs="宋体"/>
                <w:kern w:val="0"/>
              </w:rPr>
              <w:t>强大的</w:t>
            </w:r>
            <w:r>
              <w:rPr>
                <w:rFonts w:hint="default" w:ascii="宋体" w:hAnsi="宋体" w:cs="宋体"/>
                <w:kern w:val="0"/>
              </w:rPr>
              <w:fldChar w:fldCharType="begin"/>
            </w:r>
            <w:r>
              <w:rPr>
                <w:rFonts w:hint="default" w:ascii="宋体" w:hAnsi="宋体" w:cs="宋体"/>
                <w:kern w:val="0"/>
              </w:rPr>
              <w:instrText xml:space="preserve"> HYPERLINK "https://baike.baidu.com/item/%E5%AE%A1%E8%AE%A1" \t "https://baike.baidu.com/item/Microsoft%20SQL%20Server/_blank" </w:instrText>
            </w:r>
            <w:r>
              <w:rPr>
                <w:rFonts w:hint="default" w:ascii="宋体" w:hAnsi="宋体" w:cs="宋体"/>
                <w:kern w:val="0"/>
              </w:rPr>
              <w:fldChar w:fldCharType="separate"/>
            </w:r>
            <w:r>
              <w:rPr>
                <w:rFonts w:hint="default" w:ascii="宋体" w:hAnsi="宋体" w:cs="宋体"/>
                <w:kern w:val="0"/>
              </w:rPr>
              <w:t>审计</w:t>
            </w:r>
            <w:r>
              <w:rPr>
                <w:rFonts w:hint="default" w:ascii="宋体" w:hAnsi="宋体" w:cs="宋体"/>
                <w:kern w:val="0"/>
              </w:rPr>
              <w:fldChar w:fldCharType="end"/>
            </w:r>
            <w:r>
              <w:rPr>
                <w:rFonts w:hint="default" w:ascii="宋体" w:hAnsi="宋体" w:cs="宋体"/>
                <w:kern w:val="0"/>
              </w:rPr>
              <w:t>功能</w:t>
            </w:r>
          </w:p>
          <w:p>
            <w:pPr>
              <w:widowControl/>
              <w:spacing w:line="0" w:lineRule="atLeast"/>
              <w:jc w:val="left"/>
              <w:rPr>
                <w:rFonts w:hint="eastAsia" w:ascii="宋体" w:hAnsi="宋体" w:cs="宋体"/>
                <w:kern w:val="0"/>
              </w:rPr>
            </w:pPr>
            <w:r>
              <w:rPr>
                <w:rFonts w:hint="eastAsia" w:ascii="宋体" w:hAnsi="宋体" w:cs="宋体"/>
                <w:kern w:val="0"/>
                <w:lang w:val="en-US" w:eastAsia="zh-CN"/>
              </w:rPr>
              <w:t>具备</w:t>
            </w:r>
            <w:r>
              <w:rPr>
                <w:rFonts w:hint="eastAsia" w:ascii="宋体" w:hAnsi="宋体" w:cs="宋体"/>
                <w:kern w:val="0"/>
              </w:rPr>
              <w:t>变更数据捕获（CDC）</w:t>
            </w:r>
            <w:r>
              <w:rPr>
                <w:rFonts w:hint="eastAsia" w:ascii="宋体" w:hAnsi="宋体" w:cs="宋体"/>
                <w:kern w:val="0"/>
                <w:lang w:val="en-US" w:eastAsia="zh-CN"/>
              </w:rPr>
              <w:t>功能，</w:t>
            </w:r>
            <w:r>
              <w:rPr>
                <w:rFonts w:hint="eastAsia" w:ascii="宋体" w:hAnsi="宋体" w:cs="宋体"/>
                <w:kern w:val="0"/>
              </w:rPr>
              <w:t>能够捕获和记录发生在你数据库中的任意INSERT、UPDATE或DELETE等操作</w:t>
            </w:r>
            <w:r>
              <w:rPr>
                <w:rFonts w:hint="eastAsia" w:ascii="宋体" w:hAnsi="宋体" w:cs="宋体"/>
                <w:kern w:val="0"/>
                <w:lang w:eastAsia="zh-CN"/>
              </w:rPr>
              <w:t>，</w:t>
            </w:r>
            <w:r>
              <w:rPr>
                <w:rFonts w:hint="eastAsia" w:ascii="宋体" w:hAnsi="宋体" w:cs="宋体"/>
                <w:kern w:val="0"/>
              </w:rPr>
              <w:t>可以对该数据库中的一个表进行跟踪记录。</w:t>
            </w:r>
          </w:p>
          <w:p>
            <w:pPr>
              <w:widowControl/>
              <w:spacing w:line="0" w:lineRule="atLeast"/>
              <w:jc w:val="left"/>
              <w:rPr>
                <w:rFonts w:hint="eastAsia" w:ascii="宋体" w:hAnsi="宋体" w:eastAsia="宋体" w:cs="宋体"/>
                <w:kern w:val="0"/>
                <w:lang w:val="en-US" w:eastAsia="zh-CN"/>
              </w:rPr>
            </w:pPr>
            <w:r>
              <w:rPr>
                <w:rFonts w:hint="eastAsia" w:ascii="宋体" w:hAnsi="宋体" w:cs="宋体"/>
                <w:kern w:val="0"/>
                <w:lang w:val="en-US" w:eastAsia="zh-CN"/>
              </w:rPr>
              <w:t>6、</w:t>
            </w:r>
            <w:r>
              <w:rPr>
                <w:rFonts w:hint="eastAsia" w:ascii="宋体" w:hAnsi="宋体" w:cs="宋体"/>
                <w:kern w:val="0"/>
              </w:rPr>
              <w:t>支持的</w:t>
            </w:r>
            <w:r>
              <w:rPr>
                <w:rFonts w:hint="default" w:ascii="宋体" w:hAnsi="宋体" w:cs="宋体"/>
                <w:kern w:val="0"/>
              </w:rPr>
              <w:fldChar w:fldCharType="begin"/>
            </w:r>
            <w:r>
              <w:rPr>
                <w:rFonts w:hint="default" w:ascii="宋体" w:hAnsi="宋体" w:cs="宋体"/>
                <w:kern w:val="0"/>
              </w:rPr>
              <w:instrText xml:space="preserve"> HYPERLINK "https://baike.baidu.com/item/%E6%93%8D%E4%BD%9C%E7%B3%BB%E7%BB%9F" \t "https://baike.baidu.com/item/Microsoft%20SQL%20Server/_blank" </w:instrText>
            </w:r>
            <w:r>
              <w:rPr>
                <w:rFonts w:hint="default" w:ascii="宋体" w:hAnsi="宋体" w:cs="宋体"/>
                <w:kern w:val="0"/>
              </w:rPr>
              <w:fldChar w:fldCharType="separate"/>
            </w:r>
            <w:r>
              <w:rPr>
                <w:rFonts w:hint="default" w:ascii="宋体" w:hAnsi="宋体" w:cs="宋体"/>
                <w:kern w:val="0"/>
              </w:rPr>
              <w:t>操作系统</w:t>
            </w:r>
            <w:r>
              <w:rPr>
                <w:rFonts w:hint="default" w:ascii="宋体" w:hAnsi="宋体" w:cs="宋体"/>
                <w:kern w:val="0"/>
              </w:rPr>
              <w:fldChar w:fldCharType="end"/>
            </w:r>
            <w:r>
              <w:rPr>
                <w:rFonts w:hint="default" w:ascii="宋体" w:hAnsi="宋体" w:cs="宋体"/>
                <w:kern w:val="0"/>
              </w:rPr>
              <w:t>：Windows 7、Windows Server 2008 R2、Windows Server 2008 SP2、Windows Vista SP2</w:t>
            </w:r>
            <w:r>
              <w:rPr>
                <w:rFonts w:hint="eastAsia" w:ascii="宋体" w:hAnsi="宋体" w:cs="宋体"/>
                <w:kern w:val="0"/>
                <w:lang w:eastAsia="zh-CN"/>
              </w:rPr>
              <w:t>。</w:t>
            </w:r>
          </w:p>
        </w:tc>
        <w:tc>
          <w:tcPr>
            <w:tcW w:w="11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Cs w:val="21"/>
                <w:lang w:val="en-US" w:eastAsia="zh-CN"/>
              </w:rPr>
            </w:pPr>
            <w:r>
              <w:rPr>
                <w:rFonts w:hint="eastAsia" w:ascii="宋体" w:hAnsi="宋体"/>
                <w:color w:val="000000"/>
                <w:szCs w:val="21"/>
                <w:lang w:val="en-US" w:eastAsia="zh-CN"/>
              </w:rPr>
              <w:t>1套</w:t>
            </w:r>
          </w:p>
        </w:tc>
        <w:tc>
          <w:tcPr>
            <w:tcW w:w="733"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color w:val="000000"/>
                <w:szCs w:val="21"/>
              </w:rPr>
            </w:pPr>
          </w:p>
        </w:tc>
      </w:tr>
      <w:tr>
        <w:tblPrEx>
          <w:tblLayout w:type="fixed"/>
          <w:tblCellMar>
            <w:top w:w="15" w:type="dxa"/>
            <w:left w:w="15" w:type="dxa"/>
            <w:bottom w:w="15" w:type="dxa"/>
            <w:right w:w="15" w:type="dxa"/>
          </w:tblCellMar>
        </w:tblPrEx>
        <w:trPr>
          <w:trHeight w:val="630" w:hRule="atLeast"/>
        </w:trPr>
        <w:tc>
          <w:tcPr>
            <w:tcW w:w="504"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color w:val="000000"/>
                <w:kern w:val="0"/>
                <w:szCs w:val="21"/>
                <w:lang w:bidi="ar"/>
              </w:rPr>
              <w:t>3</w:t>
            </w:r>
          </w:p>
        </w:tc>
        <w:tc>
          <w:tcPr>
            <w:tcW w:w="529" w:type="dxa"/>
            <w:vMerge w:val="restart"/>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b/>
                <w:color w:val="000000"/>
                <w:szCs w:val="21"/>
              </w:rPr>
            </w:pPr>
            <w:r>
              <w:rPr>
                <w:rFonts w:hint="eastAsia" w:ascii="宋体" w:hAnsi="宋体"/>
                <w:b/>
                <w:color w:val="000000"/>
                <w:kern w:val="0"/>
                <w:szCs w:val="21"/>
                <w:lang w:bidi="ar"/>
              </w:rPr>
              <w:t>机房建设</w:t>
            </w:r>
          </w:p>
        </w:tc>
        <w:tc>
          <w:tcPr>
            <w:tcW w:w="5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color w:val="000000"/>
                <w:kern w:val="0"/>
                <w:szCs w:val="21"/>
                <w:lang w:bidi="ar"/>
              </w:rPr>
              <w:t>硬件</w:t>
            </w:r>
          </w:p>
        </w:tc>
        <w:tc>
          <w:tcPr>
            <w:tcW w:w="2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auto"/>
                <w:szCs w:val="21"/>
              </w:rPr>
            </w:pPr>
            <w:r>
              <w:rPr>
                <w:rFonts w:hint="eastAsia" w:ascii="宋体" w:hAnsi="宋体"/>
                <w:color w:val="auto"/>
                <w:kern w:val="0"/>
                <w:szCs w:val="21"/>
                <w:lang w:bidi="ar"/>
              </w:rPr>
              <w:t>数据库应用服务器</w:t>
            </w:r>
          </w:p>
        </w:tc>
        <w:tc>
          <w:tcPr>
            <w:tcW w:w="39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olor w:val="auto"/>
                <w:szCs w:val="21"/>
              </w:rPr>
            </w:pPr>
            <w:r>
              <w:rPr>
                <w:rFonts w:hint="eastAsia" w:ascii="宋体" w:hAnsi="宋体"/>
                <w:color w:val="auto"/>
                <w:szCs w:val="21"/>
              </w:rPr>
              <w:t>CPU:≥ E5-2609v4*1</w:t>
            </w:r>
          </w:p>
          <w:p>
            <w:pPr>
              <w:widowControl/>
              <w:jc w:val="left"/>
              <w:textAlignment w:val="center"/>
              <w:rPr>
                <w:rFonts w:hint="eastAsia" w:ascii="宋体" w:hAnsi="宋体"/>
                <w:color w:val="auto"/>
                <w:szCs w:val="21"/>
              </w:rPr>
            </w:pPr>
            <w:r>
              <w:rPr>
                <w:rFonts w:hint="eastAsia" w:ascii="宋体" w:hAnsi="宋体"/>
                <w:color w:val="auto"/>
                <w:szCs w:val="21"/>
              </w:rPr>
              <w:t>内存：不低于16 GB DDR4；</w:t>
            </w:r>
          </w:p>
          <w:p>
            <w:pPr>
              <w:widowControl/>
              <w:jc w:val="left"/>
              <w:textAlignment w:val="center"/>
              <w:rPr>
                <w:rFonts w:hint="eastAsia" w:ascii="宋体" w:hAnsi="宋体"/>
                <w:color w:val="auto"/>
                <w:szCs w:val="21"/>
              </w:rPr>
            </w:pPr>
            <w:r>
              <w:rPr>
                <w:rFonts w:hint="eastAsia" w:ascii="宋体" w:hAnsi="宋体"/>
                <w:color w:val="auto"/>
                <w:szCs w:val="21"/>
              </w:rPr>
              <w:t>硬盘：6x300G 10K SAS</w:t>
            </w:r>
          </w:p>
          <w:p>
            <w:pPr>
              <w:widowControl/>
              <w:jc w:val="left"/>
              <w:textAlignment w:val="center"/>
              <w:rPr>
                <w:rFonts w:hint="eastAsia" w:ascii="宋体" w:hAnsi="宋体"/>
                <w:color w:val="auto"/>
                <w:szCs w:val="21"/>
              </w:rPr>
            </w:pPr>
            <w:r>
              <w:rPr>
                <w:rFonts w:hint="eastAsia" w:ascii="宋体" w:hAnsi="宋体"/>
                <w:color w:val="auto"/>
                <w:szCs w:val="21"/>
              </w:rPr>
              <w:t>Raid 1,5，2*495W以上，冗余电源DVD-RW</w:t>
            </w:r>
          </w:p>
        </w:tc>
        <w:tc>
          <w:tcPr>
            <w:tcW w:w="11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color w:val="000000"/>
                <w:szCs w:val="21"/>
              </w:rPr>
              <w:t>2台</w:t>
            </w:r>
          </w:p>
        </w:tc>
        <w:tc>
          <w:tcPr>
            <w:tcW w:w="73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olor w:val="000000"/>
                <w:kern w:val="0"/>
                <w:szCs w:val="21"/>
                <w:lang w:bidi="ar"/>
              </w:rPr>
            </w:pPr>
            <w:r>
              <w:rPr>
                <w:rFonts w:hint="eastAsia" w:ascii="宋体" w:hAnsi="宋体"/>
                <w:color w:val="000000"/>
                <w:kern w:val="0"/>
                <w:szCs w:val="21"/>
                <w:lang w:bidi="ar"/>
              </w:rPr>
              <w:t>核心产品</w:t>
            </w:r>
          </w:p>
        </w:tc>
      </w:tr>
      <w:tr>
        <w:tblPrEx>
          <w:tblLayout w:type="fixed"/>
          <w:tblCellMar>
            <w:top w:w="15" w:type="dxa"/>
            <w:left w:w="15" w:type="dxa"/>
            <w:bottom w:w="15" w:type="dxa"/>
            <w:right w:w="15" w:type="dxa"/>
          </w:tblCellMar>
        </w:tblPrEx>
        <w:trPr>
          <w:trHeight w:val="1760" w:hRule="atLeast"/>
        </w:trPr>
        <w:tc>
          <w:tcPr>
            <w:tcW w:w="504"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color w:val="000000"/>
                <w:szCs w:val="21"/>
              </w:rPr>
            </w:pPr>
          </w:p>
        </w:tc>
        <w:tc>
          <w:tcPr>
            <w:tcW w:w="529" w:type="dxa"/>
            <w:vMerge w:val="continue"/>
            <w:tcBorders>
              <w:top w:val="single" w:color="000000" w:sz="4" w:space="0"/>
              <w:left w:val="single" w:color="000000" w:sz="4" w:space="0"/>
              <w:bottom w:val="single" w:color="000000" w:sz="4" w:space="0"/>
            </w:tcBorders>
            <w:vAlign w:val="center"/>
          </w:tcPr>
          <w:p>
            <w:pPr>
              <w:jc w:val="center"/>
              <w:rPr>
                <w:rFonts w:hint="eastAsia" w:ascii="宋体" w:hAnsi="宋体"/>
                <w:b/>
                <w:color w:val="000000"/>
                <w:szCs w:val="21"/>
              </w:rPr>
            </w:pPr>
          </w:p>
        </w:tc>
        <w:tc>
          <w:tcPr>
            <w:tcW w:w="5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Cs w:val="21"/>
              </w:rPr>
            </w:pPr>
          </w:p>
        </w:tc>
        <w:tc>
          <w:tcPr>
            <w:tcW w:w="2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color w:val="000000"/>
                <w:kern w:val="0"/>
                <w:szCs w:val="21"/>
                <w:lang w:bidi="ar"/>
              </w:rPr>
              <w:t>交换机</w:t>
            </w:r>
          </w:p>
        </w:tc>
        <w:tc>
          <w:tcPr>
            <w:tcW w:w="39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olor w:val="000000"/>
                <w:szCs w:val="21"/>
              </w:rPr>
            </w:pPr>
            <w:r>
              <w:rPr>
                <w:rFonts w:hint="eastAsia" w:ascii="宋体" w:hAnsi="宋体"/>
                <w:color w:val="000000"/>
                <w:szCs w:val="21"/>
              </w:rPr>
              <w:t xml:space="preserve">产品类型：千兆以太网交换机 应用层级：三层 传输速率：10/100/1000Mbps 端口数量：24个 背板带宽：48Gbps网络标准：IEEE 802.3，IEEE 8端口结构：非模块化 交换方式：存储-转发 传输模式：全双工/半双工自适 </w:t>
            </w:r>
          </w:p>
        </w:tc>
        <w:tc>
          <w:tcPr>
            <w:tcW w:w="11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color w:val="000000"/>
                <w:szCs w:val="21"/>
              </w:rPr>
              <w:t>1台</w:t>
            </w:r>
          </w:p>
        </w:tc>
        <w:tc>
          <w:tcPr>
            <w:tcW w:w="73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olor w:val="000000"/>
                <w:kern w:val="0"/>
                <w:szCs w:val="21"/>
                <w:lang w:bidi="ar"/>
              </w:rPr>
            </w:pPr>
          </w:p>
        </w:tc>
      </w:tr>
      <w:tr>
        <w:tblPrEx>
          <w:tblLayout w:type="fixed"/>
          <w:tblCellMar>
            <w:top w:w="15" w:type="dxa"/>
            <w:left w:w="15" w:type="dxa"/>
            <w:bottom w:w="15" w:type="dxa"/>
            <w:right w:w="15" w:type="dxa"/>
          </w:tblCellMar>
        </w:tblPrEx>
        <w:trPr>
          <w:trHeight w:val="3705" w:hRule="atLeast"/>
        </w:trPr>
        <w:tc>
          <w:tcPr>
            <w:tcW w:w="504"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color w:val="000000"/>
                <w:szCs w:val="21"/>
              </w:rPr>
            </w:pPr>
          </w:p>
        </w:tc>
        <w:tc>
          <w:tcPr>
            <w:tcW w:w="529" w:type="dxa"/>
            <w:vMerge w:val="continue"/>
            <w:tcBorders>
              <w:top w:val="single" w:color="000000" w:sz="4" w:space="0"/>
              <w:left w:val="single" w:color="000000" w:sz="4" w:space="0"/>
              <w:bottom w:val="single" w:color="000000" w:sz="4" w:space="0"/>
            </w:tcBorders>
            <w:vAlign w:val="center"/>
          </w:tcPr>
          <w:p>
            <w:pPr>
              <w:jc w:val="center"/>
              <w:rPr>
                <w:rFonts w:hint="eastAsia" w:ascii="宋体" w:hAnsi="宋体"/>
                <w:b/>
                <w:color w:val="000000"/>
                <w:szCs w:val="21"/>
              </w:rPr>
            </w:pPr>
          </w:p>
        </w:tc>
        <w:tc>
          <w:tcPr>
            <w:tcW w:w="5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Cs w:val="21"/>
              </w:rPr>
            </w:pPr>
          </w:p>
        </w:tc>
        <w:tc>
          <w:tcPr>
            <w:tcW w:w="2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color w:val="000000"/>
                <w:kern w:val="0"/>
                <w:szCs w:val="21"/>
                <w:lang w:bidi="ar"/>
              </w:rPr>
              <w:t xml:space="preserve"> 防火墙</w:t>
            </w:r>
          </w:p>
        </w:tc>
        <w:tc>
          <w:tcPr>
            <w:tcW w:w="39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olor w:val="000000"/>
                <w:szCs w:val="21"/>
              </w:rPr>
            </w:pPr>
            <w:r>
              <w:rPr>
                <w:rFonts w:hint="eastAsia" w:ascii="宋体" w:hAnsi="宋体"/>
                <w:color w:val="000000"/>
                <w:kern w:val="0"/>
                <w:szCs w:val="21"/>
                <w:lang w:bidi="ar"/>
              </w:rPr>
              <w:t>1个配置口（CON），5个GE端口 ，可通过该插槽扩展网络接口，L2TP VPN GRE VPN IPSec/IKE SSL VPN，支持对黑客攻击、蠕虫/病毒、木马、恶意代码、间谍软件/广告软件、DoS/DDoS常等攻击的防御，支持缓冲区溢出、SQL注入、IDS/IPS逃逸等攻击的防御，支持对BT等P2P/IM识别和控制，支持攻击特征库的分类（根据攻击类型、目标机系统进行分类）、分级（分高、中、低、提示四级） ，命令行接口，支持标准网管 SNMPv3，并且兼容SNMP v2c、SNMP v1，支持NTP时间同步，支持Web方式进行远程配置管理，支持SNMP、TR069网管协议，电源AC 100-240V，50/60Hz，27W，网络安全性：AAA服务，防火墙，病毒防护，入侵防御，URL过滤，安全日志及统计，NA</w:t>
            </w:r>
          </w:p>
        </w:tc>
        <w:tc>
          <w:tcPr>
            <w:tcW w:w="11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color w:val="000000"/>
                <w:kern w:val="0"/>
                <w:szCs w:val="21"/>
                <w:lang w:bidi="ar"/>
              </w:rPr>
              <w:t>1台</w:t>
            </w:r>
          </w:p>
        </w:tc>
        <w:tc>
          <w:tcPr>
            <w:tcW w:w="73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olor w:val="000000"/>
                <w:kern w:val="0"/>
                <w:szCs w:val="21"/>
                <w:lang w:bidi="ar"/>
              </w:rPr>
            </w:pPr>
          </w:p>
        </w:tc>
      </w:tr>
      <w:tr>
        <w:tblPrEx>
          <w:tblLayout w:type="fixed"/>
          <w:tblCellMar>
            <w:top w:w="15" w:type="dxa"/>
            <w:left w:w="15" w:type="dxa"/>
            <w:bottom w:w="15" w:type="dxa"/>
            <w:right w:w="15" w:type="dxa"/>
          </w:tblCellMar>
        </w:tblPrEx>
        <w:trPr>
          <w:trHeight w:val="570" w:hRule="atLeast"/>
        </w:trPr>
        <w:tc>
          <w:tcPr>
            <w:tcW w:w="504"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color w:val="000000"/>
                <w:szCs w:val="21"/>
              </w:rPr>
            </w:pPr>
          </w:p>
        </w:tc>
        <w:tc>
          <w:tcPr>
            <w:tcW w:w="529" w:type="dxa"/>
            <w:vMerge w:val="continue"/>
            <w:tcBorders>
              <w:top w:val="single" w:color="000000" w:sz="4" w:space="0"/>
              <w:left w:val="single" w:color="000000" w:sz="4" w:space="0"/>
              <w:bottom w:val="single" w:color="000000" w:sz="4" w:space="0"/>
            </w:tcBorders>
            <w:vAlign w:val="center"/>
          </w:tcPr>
          <w:p>
            <w:pPr>
              <w:jc w:val="center"/>
              <w:rPr>
                <w:rFonts w:hint="eastAsia" w:ascii="宋体" w:hAnsi="宋体"/>
                <w:b/>
                <w:color w:val="000000"/>
                <w:szCs w:val="21"/>
              </w:rPr>
            </w:pPr>
          </w:p>
        </w:tc>
        <w:tc>
          <w:tcPr>
            <w:tcW w:w="5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Cs w:val="21"/>
              </w:rPr>
            </w:pPr>
          </w:p>
        </w:tc>
        <w:tc>
          <w:tcPr>
            <w:tcW w:w="2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color w:val="000000"/>
                <w:kern w:val="0"/>
                <w:szCs w:val="21"/>
                <w:lang w:bidi="ar"/>
              </w:rPr>
              <w:t>应用终端电脑</w:t>
            </w:r>
          </w:p>
        </w:tc>
        <w:tc>
          <w:tcPr>
            <w:tcW w:w="39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olor w:val="FF0000"/>
                <w:szCs w:val="21"/>
              </w:rPr>
            </w:pPr>
            <w:r>
              <w:rPr>
                <w:rFonts w:hint="eastAsia" w:ascii="宋体" w:hAnsi="宋体"/>
                <w:color w:val="auto"/>
                <w:szCs w:val="21"/>
              </w:rPr>
              <w:t>国产知名品牌台式机，CPU≥Intel i5 6500,内存≥4g，硬盘容量≥1T硬盘，独立显卡，显示器≥22寸液晶。</w:t>
            </w:r>
          </w:p>
        </w:tc>
        <w:tc>
          <w:tcPr>
            <w:tcW w:w="11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color w:val="000000"/>
                <w:kern w:val="0"/>
                <w:szCs w:val="21"/>
                <w:lang w:bidi="ar"/>
              </w:rPr>
              <w:t>1台</w:t>
            </w:r>
          </w:p>
        </w:tc>
        <w:tc>
          <w:tcPr>
            <w:tcW w:w="73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olor w:val="000000"/>
                <w:kern w:val="0"/>
                <w:szCs w:val="21"/>
                <w:lang w:bidi="ar"/>
              </w:rPr>
            </w:pPr>
          </w:p>
        </w:tc>
      </w:tr>
      <w:tr>
        <w:tblPrEx>
          <w:tblLayout w:type="fixed"/>
          <w:tblCellMar>
            <w:top w:w="15" w:type="dxa"/>
            <w:left w:w="15" w:type="dxa"/>
            <w:bottom w:w="15" w:type="dxa"/>
            <w:right w:w="15" w:type="dxa"/>
          </w:tblCellMar>
        </w:tblPrEx>
        <w:trPr>
          <w:trHeight w:val="855" w:hRule="atLeast"/>
        </w:trPr>
        <w:tc>
          <w:tcPr>
            <w:tcW w:w="504"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color w:val="000000"/>
                <w:szCs w:val="21"/>
              </w:rPr>
            </w:pPr>
          </w:p>
        </w:tc>
        <w:tc>
          <w:tcPr>
            <w:tcW w:w="529" w:type="dxa"/>
            <w:vMerge w:val="continue"/>
            <w:tcBorders>
              <w:top w:val="single" w:color="000000" w:sz="4" w:space="0"/>
              <w:left w:val="single" w:color="000000" w:sz="4" w:space="0"/>
              <w:bottom w:val="single" w:color="000000" w:sz="4" w:space="0"/>
            </w:tcBorders>
            <w:vAlign w:val="center"/>
          </w:tcPr>
          <w:p>
            <w:pPr>
              <w:jc w:val="center"/>
              <w:rPr>
                <w:rFonts w:hint="eastAsia" w:ascii="宋体" w:hAnsi="宋体"/>
                <w:b/>
                <w:color w:val="000000"/>
                <w:szCs w:val="21"/>
              </w:rPr>
            </w:pPr>
          </w:p>
        </w:tc>
        <w:tc>
          <w:tcPr>
            <w:tcW w:w="5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Cs w:val="21"/>
              </w:rPr>
            </w:pPr>
          </w:p>
        </w:tc>
        <w:tc>
          <w:tcPr>
            <w:tcW w:w="2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color w:val="000000"/>
                <w:kern w:val="0"/>
                <w:szCs w:val="21"/>
                <w:lang w:bidi="ar"/>
              </w:rPr>
              <w:t>打印机</w:t>
            </w:r>
          </w:p>
        </w:tc>
        <w:tc>
          <w:tcPr>
            <w:tcW w:w="39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olor w:val="000000"/>
                <w:szCs w:val="21"/>
              </w:rPr>
            </w:pPr>
            <w:r>
              <w:rPr>
                <w:rFonts w:hint="eastAsia" w:ascii="宋体" w:hAnsi="宋体"/>
                <w:color w:val="000000"/>
                <w:kern w:val="0"/>
                <w:szCs w:val="21"/>
                <w:lang w:bidi="ar"/>
              </w:rPr>
              <w:t>内存容量 256MB（最大：256MB）;扫描分辨率 600×600dpi,打印分辨率 600×600dpi;纸张大小 最大 A3、11×17"最小 A5</w:t>
            </w:r>
            <w:r>
              <w:rPr>
                <w:rFonts w:hint="eastAsia" w:ascii="宋体" w:hAnsi="宋体"/>
                <w:color w:val="000000"/>
                <w:kern w:val="0"/>
                <w:szCs w:val="21"/>
                <w:lang w:bidi="ar"/>
              </w:rPr>
              <w:br w:type="textWrapping"/>
            </w:r>
            <w:r>
              <w:rPr>
                <w:rFonts w:hint="eastAsia" w:ascii="宋体" w:hAnsi="宋体"/>
                <w:color w:val="000000"/>
                <w:kern w:val="0"/>
                <w:szCs w:val="21"/>
                <w:lang w:bidi="ar"/>
              </w:rPr>
              <w:t>图像缺失宽度 顶边5.5mm、底边6.0mm、左/右5.5mm</w:t>
            </w:r>
          </w:p>
        </w:tc>
        <w:tc>
          <w:tcPr>
            <w:tcW w:w="11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color w:val="000000"/>
                <w:kern w:val="0"/>
                <w:szCs w:val="21"/>
                <w:lang w:bidi="ar"/>
              </w:rPr>
              <w:t>1台</w:t>
            </w:r>
          </w:p>
        </w:tc>
        <w:tc>
          <w:tcPr>
            <w:tcW w:w="73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olor w:val="000000"/>
                <w:kern w:val="0"/>
                <w:szCs w:val="21"/>
                <w:lang w:bidi="ar"/>
              </w:rPr>
            </w:pPr>
          </w:p>
        </w:tc>
      </w:tr>
      <w:tr>
        <w:tblPrEx>
          <w:tblLayout w:type="fixed"/>
          <w:tblCellMar>
            <w:top w:w="15" w:type="dxa"/>
            <w:left w:w="15" w:type="dxa"/>
            <w:bottom w:w="15" w:type="dxa"/>
            <w:right w:w="15" w:type="dxa"/>
          </w:tblCellMar>
        </w:tblPrEx>
        <w:trPr>
          <w:trHeight w:val="285" w:hRule="atLeast"/>
        </w:trPr>
        <w:tc>
          <w:tcPr>
            <w:tcW w:w="504"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color w:val="000000"/>
                <w:szCs w:val="21"/>
              </w:rPr>
            </w:pPr>
          </w:p>
        </w:tc>
        <w:tc>
          <w:tcPr>
            <w:tcW w:w="529" w:type="dxa"/>
            <w:vMerge w:val="continue"/>
            <w:tcBorders>
              <w:top w:val="single" w:color="000000" w:sz="4" w:space="0"/>
              <w:left w:val="single" w:color="000000" w:sz="4" w:space="0"/>
              <w:bottom w:val="single" w:color="000000" w:sz="4" w:space="0"/>
            </w:tcBorders>
            <w:vAlign w:val="center"/>
          </w:tcPr>
          <w:p>
            <w:pPr>
              <w:jc w:val="center"/>
              <w:rPr>
                <w:rFonts w:hint="eastAsia" w:ascii="宋体" w:hAnsi="宋体"/>
                <w:b/>
                <w:color w:val="000000"/>
                <w:szCs w:val="21"/>
              </w:rPr>
            </w:pPr>
          </w:p>
        </w:tc>
        <w:tc>
          <w:tcPr>
            <w:tcW w:w="5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Cs w:val="21"/>
              </w:rPr>
            </w:pPr>
          </w:p>
        </w:tc>
        <w:tc>
          <w:tcPr>
            <w:tcW w:w="2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color w:val="000000"/>
                <w:kern w:val="0"/>
                <w:szCs w:val="21"/>
                <w:lang w:bidi="ar"/>
              </w:rPr>
              <w:t>电脑桌椅</w:t>
            </w:r>
          </w:p>
        </w:tc>
        <w:tc>
          <w:tcPr>
            <w:tcW w:w="39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kern w:val="0"/>
                <w:szCs w:val="21"/>
                <w:lang w:bidi="ar"/>
              </w:rPr>
              <w:t>配套电脑桌1.8cm*0.9cm、老板椅</w:t>
            </w:r>
          </w:p>
        </w:tc>
        <w:tc>
          <w:tcPr>
            <w:tcW w:w="11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color w:val="000000"/>
                <w:kern w:val="0"/>
                <w:szCs w:val="21"/>
                <w:lang w:bidi="ar"/>
              </w:rPr>
              <w:t>1套</w:t>
            </w:r>
          </w:p>
        </w:tc>
        <w:tc>
          <w:tcPr>
            <w:tcW w:w="73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olor w:val="000000"/>
                <w:kern w:val="0"/>
                <w:szCs w:val="21"/>
                <w:lang w:bidi="ar"/>
              </w:rPr>
            </w:pPr>
          </w:p>
        </w:tc>
      </w:tr>
      <w:tr>
        <w:tblPrEx>
          <w:tblLayout w:type="fixed"/>
          <w:tblCellMar>
            <w:top w:w="15" w:type="dxa"/>
            <w:left w:w="15" w:type="dxa"/>
            <w:bottom w:w="15" w:type="dxa"/>
            <w:right w:w="15" w:type="dxa"/>
          </w:tblCellMar>
        </w:tblPrEx>
        <w:trPr>
          <w:trHeight w:val="285" w:hRule="atLeast"/>
        </w:trPr>
        <w:tc>
          <w:tcPr>
            <w:tcW w:w="504"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color w:val="000000"/>
                <w:szCs w:val="21"/>
              </w:rPr>
            </w:pPr>
          </w:p>
        </w:tc>
        <w:tc>
          <w:tcPr>
            <w:tcW w:w="529" w:type="dxa"/>
            <w:vMerge w:val="continue"/>
            <w:tcBorders>
              <w:top w:val="single" w:color="000000" w:sz="4" w:space="0"/>
              <w:left w:val="single" w:color="000000" w:sz="4" w:space="0"/>
              <w:bottom w:val="single" w:color="000000" w:sz="4" w:space="0"/>
            </w:tcBorders>
            <w:vAlign w:val="center"/>
          </w:tcPr>
          <w:p>
            <w:pPr>
              <w:jc w:val="center"/>
              <w:rPr>
                <w:rFonts w:hint="eastAsia" w:ascii="宋体" w:hAnsi="宋体"/>
                <w:b/>
                <w:color w:val="000000"/>
                <w:szCs w:val="21"/>
              </w:rPr>
            </w:pPr>
          </w:p>
        </w:tc>
        <w:tc>
          <w:tcPr>
            <w:tcW w:w="27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color w:val="000000"/>
                <w:kern w:val="0"/>
                <w:szCs w:val="21"/>
                <w:lang w:bidi="ar"/>
              </w:rPr>
              <w:t>机房整修</w:t>
            </w:r>
          </w:p>
        </w:tc>
        <w:tc>
          <w:tcPr>
            <w:tcW w:w="39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szCs w:val="21"/>
              </w:rPr>
            </w:pPr>
            <w:r>
              <w:rPr>
                <w:rFonts w:hint="eastAsia" w:ascii="宋体" w:hAnsi="宋体"/>
                <w:color w:val="000000"/>
                <w:kern w:val="0"/>
                <w:szCs w:val="21"/>
                <w:lang w:bidi="ar"/>
              </w:rPr>
              <w:t>对原有机房吊顶、隔离墙及防静电地面等进行整修处理</w:t>
            </w:r>
          </w:p>
        </w:tc>
        <w:tc>
          <w:tcPr>
            <w:tcW w:w="11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Cs w:val="21"/>
                <w:lang w:val="en-US" w:eastAsia="zh-CN"/>
              </w:rPr>
            </w:pPr>
            <w:r>
              <w:rPr>
                <w:rFonts w:hint="eastAsia" w:ascii="宋体" w:hAnsi="宋体"/>
                <w:color w:val="000000"/>
                <w:szCs w:val="21"/>
                <w:lang w:val="en-US" w:eastAsia="zh-CN"/>
              </w:rPr>
              <w:t>1项</w:t>
            </w:r>
          </w:p>
        </w:tc>
        <w:tc>
          <w:tcPr>
            <w:tcW w:w="733"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color w:val="000000"/>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H-SS9-PK74820000032-Identity-H">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E0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2017-12-29T08:22:02Z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