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38F9" w:rsidP="00A77D3C">
      <w:pPr>
        <w:ind w:firstLineChars="343" w:firstLine="723"/>
        <w:rPr>
          <w:rFonts w:hint="eastAsia"/>
          <w:b/>
          <w:bCs/>
        </w:rPr>
      </w:pPr>
      <w:r w:rsidRPr="002238F9">
        <w:rPr>
          <w:rFonts w:hint="eastAsia"/>
          <w:b/>
          <w:bCs/>
        </w:rPr>
        <w:t>平顶山市农村土地承包经营权管理信息系统建设及数据汇总项目</w:t>
      </w:r>
      <w:r>
        <w:rPr>
          <w:rFonts w:hint="eastAsia"/>
          <w:b/>
          <w:bCs/>
        </w:rPr>
        <w:t>采购清单</w:t>
      </w:r>
    </w:p>
    <w:tbl>
      <w:tblPr>
        <w:tblW w:w="0" w:type="auto"/>
        <w:tblInd w:w="-5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4"/>
        <w:gridCol w:w="529"/>
        <w:gridCol w:w="557"/>
        <w:gridCol w:w="990"/>
        <w:gridCol w:w="2692"/>
        <w:gridCol w:w="2468"/>
        <w:gridCol w:w="750"/>
        <w:gridCol w:w="1125"/>
      </w:tblGrid>
      <w:tr w:rsidR="00A77D3C" w:rsidTr="00873A88">
        <w:trPr>
          <w:trHeight w:val="375"/>
        </w:trPr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47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项目内容</w:t>
            </w:r>
          </w:p>
        </w:tc>
        <w:tc>
          <w:tcPr>
            <w:tcW w:w="24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参数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A77D3C" w:rsidTr="00873A88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平顶山市确权登记数据整理及数据库建设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——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A77D3C" w:rsidTr="00873A88">
        <w:trPr>
          <w:trHeight w:val="85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管理信息系统平台建设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软件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市级确权登记颁证信息管理系统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A77D3C" w:rsidTr="00873A88">
        <w:trPr>
          <w:trHeight w:val="28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市级电子政务系统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A77D3C" w:rsidTr="00873A88">
        <w:trPr>
          <w:trHeight w:val="28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市级平台接入系统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A77D3C" w:rsidTr="00873A88">
        <w:trPr>
          <w:trHeight w:val="28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市级成果应用系统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A77D3C" w:rsidTr="00873A88">
        <w:trPr>
          <w:trHeight w:val="28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Arcgis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软件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A77D3C" w:rsidTr="00873A88">
        <w:trPr>
          <w:trHeight w:val="28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数据库软件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A77D3C" w:rsidTr="00873A88">
        <w:trPr>
          <w:trHeight w:val="63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机房建设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硬件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数据库应用服务器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szCs w:val="21"/>
                <w:lang/>
              </w:rPr>
              <w:t>8871-I25 1xE5-2609v4, 1*16GB DDR4,8x2.5"盘位，</w:t>
            </w:r>
            <w:r>
              <w:rPr>
                <w:rStyle w:val="font41"/>
                <w:rFonts w:ascii="宋体" w:hAnsi="宋体" w:cs="宋体" w:hint="eastAsia"/>
                <w:sz w:val="21"/>
                <w:szCs w:val="21"/>
                <w:lang/>
              </w:rPr>
              <w:t>6x300G 10K SAS, M5210 Raid 0,1</w:t>
            </w:r>
            <w:r>
              <w:rPr>
                <w:rStyle w:val="font21"/>
                <w:rFonts w:hint="default"/>
                <w:szCs w:val="21"/>
                <w:lang/>
              </w:rPr>
              <w:t>，</w:t>
            </w:r>
            <w:r>
              <w:rPr>
                <w:rStyle w:val="font41"/>
                <w:rFonts w:ascii="宋体" w:hAnsi="宋体" w:cs="宋体" w:hint="eastAsia"/>
                <w:sz w:val="21"/>
                <w:szCs w:val="21"/>
                <w:lang/>
              </w:rPr>
              <w:t>2*550W</w:t>
            </w:r>
            <w:r>
              <w:rPr>
                <w:rStyle w:val="font21"/>
                <w:rFonts w:hint="default"/>
                <w:szCs w:val="21"/>
                <w:lang/>
              </w:rPr>
              <w:t>白金，</w:t>
            </w:r>
            <w:r>
              <w:rPr>
                <w:rStyle w:val="font41"/>
                <w:rFonts w:ascii="宋体" w:hAnsi="宋体" w:cs="宋体" w:hint="eastAsia"/>
                <w:sz w:val="21"/>
                <w:szCs w:val="21"/>
                <w:lang/>
              </w:rPr>
              <w:t>DVD-RW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核心产品</w:t>
            </w:r>
          </w:p>
        </w:tc>
      </w:tr>
      <w:tr w:rsidR="00A77D3C" w:rsidTr="00873A88">
        <w:trPr>
          <w:trHeight w:val="199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交换机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产品类型：千兆以太网交换机 应用层级：二层 传输速率：10/100/1000Mbps 端口数量：24个 背板带宽：48Gbps 包转发率：10Mbps:14800pps  MAC地址表：8K 网络标准：IEEE 802.3，IEEE 8端口结构：非模块化 交换方式：存储-转发 传输模式：全双工/半双工自适 状态指示灯：Link/Act，Speed，电源电压：AC 100-240V，50-60 环境标准：工作温度：0-40℃ 端口描述：24个10/100/1000Mbp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A77D3C" w:rsidTr="00873A88">
        <w:trPr>
          <w:trHeight w:val="370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防火墙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企业级防火墙，1个配置口（CON），5个GE端口 ，可通过该插槽扩展网络接口，L2TP VPN GRE VPN IPSec/IKE SSL VPN，支持对黑客攻击、蠕虫/病毒、木马、恶意代码、间谍软件/广告软件、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DoS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DDoS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常等攻击的防御，支持缓冲区溢出、SQL注入、IDS/IPS逃逸等攻击的防御，支持对BT等P2P/IM识别和控制，支持攻击特征库的分类（根据攻击类型、目标机系统进行分类）、分级（分高、中、低、提示四级） ，命令行接口，支持标准网管 SNMPv3，并且兼容SNMP v2c、SNMP v1，支持NTP时间同步，支持Web方式进行远程配置管理，支持SNMP、TR069网管协议，支持H3C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SecCenter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安全管理中心进行设备管理 ，电源AC 100-240V，50/60Hz，27W，产品尺寸：300×260×43.6mm。网络安全性：AAA服务，防火墙，病毒防护，入侵防御，URL过滤，安全日志及统计，NA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A77D3C" w:rsidTr="00873A88">
        <w:trPr>
          <w:trHeight w:val="570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应用终端电脑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DELL 3046 I5-6500 CPU ，4G内存，1T硬盘，独立显卡，22寸液晶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A77D3C" w:rsidTr="00873A88">
        <w:trPr>
          <w:trHeight w:val="85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打印机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内存容量 256MB（最大：256MB）;扫描分辨率 600×600dpi,打印分辨率 600×600dpi;纸张大小 最大 A3、11×17"最小 A5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br/>
              <w:t>图像缺失宽度 顶边5.5mm、底边6.0mm、左/右5.5mm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A77D3C" w:rsidTr="00873A88">
        <w:trPr>
          <w:trHeight w:val="28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电脑桌椅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配套电脑桌1.8cm*0.9cm、老板椅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A77D3C" w:rsidTr="00873A88">
        <w:trPr>
          <w:trHeight w:val="285"/>
        </w:trPr>
        <w:tc>
          <w:tcPr>
            <w:tcW w:w="5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D3C" w:rsidRDefault="00A77D3C" w:rsidP="00873A88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机房整修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对原有机房吊顶、隔离墙及防静电地面等进行整修处理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3C" w:rsidRDefault="00A77D3C" w:rsidP="00873A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7D3C" w:rsidRDefault="00A77D3C" w:rsidP="00873A88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A77D3C" w:rsidRPr="00A77D3C" w:rsidRDefault="00A77D3C" w:rsidP="00A77D3C">
      <w:pPr>
        <w:ind w:firstLineChars="343" w:firstLine="720"/>
      </w:pPr>
    </w:p>
    <w:sectPr w:rsidR="00A77D3C" w:rsidRPr="00A7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F9" w:rsidRDefault="002238F9" w:rsidP="002238F9">
      <w:r>
        <w:separator/>
      </w:r>
    </w:p>
  </w:endnote>
  <w:endnote w:type="continuationSeparator" w:id="1">
    <w:p w:rsidR="002238F9" w:rsidRDefault="002238F9" w:rsidP="0022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F9" w:rsidRDefault="002238F9" w:rsidP="002238F9">
      <w:r>
        <w:separator/>
      </w:r>
    </w:p>
  </w:footnote>
  <w:footnote w:type="continuationSeparator" w:id="1">
    <w:p w:rsidR="002238F9" w:rsidRDefault="002238F9" w:rsidP="00223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8F9"/>
    <w:rsid w:val="002238F9"/>
    <w:rsid w:val="005F2E05"/>
    <w:rsid w:val="00A7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8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8F9"/>
    <w:rPr>
      <w:sz w:val="18"/>
      <w:szCs w:val="18"/>
    </w:rPr>
  </w:style>
  <w:style w:type="character" w:customStyle="1" w:styleId="font21">
    <w:name w:val="font21"/>
    <w:basedOn w:val="a0"/>
    <w:rsid w:val="00A77D3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A77D3C"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>微软公司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河南恒信咨询管理有限公司:刘冠洲</dc:creator>
  <cp:keywords/>
  <dc:description/>
  <cp:lastModifiedBy>河南恒信咨询管理有限公司:刘冠洲</cp:lastModifiedBy>
  <cp:revision>5</cp:revision>
  <dcterms:created xsi:type="dcterms:W3CDTF">2017-12-05T02:10:00Z</dcterms:created>
  <dcterms:modified xsi:type="dcterms:W3CDTF">2017-12-05T02:10:00Z</dcterms:modified>
</cp:coreProperties>
</file>